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pPr>
      <w:r>
        <w:rPr>
          <w:rFonts w:ascii="Arial" w:cs="Arial" w:eastAsia="Arial" w:hAnsi="Arial"/>
          <w:b/>
          <w:bCs/>
          <w:caps/>
          <w:color w:val="5B2D8E"/>
          <w:sz w:val="48"/>
          <w:szCs w:val="48"/>
        </w:rPr>
        <w:t xml:space="preserve">REGULATORY FRAMEWORK</w:t>
      </w:r>
    </w:p>
    <w:p>
      <w:pPr>
        <w:spacing w:after="200" w:before="0"/>
      </w:pPr>
      <w:r>
        <w:rPr>
          <w:rFonts w:ascii="Arial" w:cs="Arial" w:eastAsia="Arial" w:hAnsi="Arial"/>
          <w:b/>
          <w:bCs/>
          <w:color w:val="1A1A2E"/>
          <w:sz w:val="36"/>
          <w:szCs w:val="36"/>
        </w:rPr>
        <w:t xml:space="preserve">Care Homes in England: Established Providers and New Builds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5B2D8E" w:sz="1"/>
              <w:left w:val="single" w:color="5B2D8E" w:sz="1"/>
              <w:bottom w:val="single" w:color="5B2D8E" w:sz="1"/>
              <w:right w:val="single" w:color="5B2D8E" w:sz="1"/>
            </w:tcBorders>
            <w:shd w:fill="E8E0F5" w:val="clear"/>
            <w:tcMar>
              <w:top w:type="dxa" w:w="200"/>
              <w:left w:type="dxa" w:w="300"/>
              <w:bottom w:type="dxa" w:w="200"/>
              <w:right w:type="dxa" w:w="300"/>
            </w:tcMar>
          </w:tcPr>
          <w:p>
            <w:pPr>
              <w:spacing w:after="40" w:before="0"/>
            </w:pPr>
            <w:r>
              <w:rPr>
                <w:rFonts w:ascii="Arial" w:cs="Arial" w:eastAsia="Arial" w:hAnsi="Arial"/>
                <w:b/>
                <w:bCs/>
                <w:color w:val="444444"/>
                <w:sz w:val="18"/>
                <w:szCs w:val="18"/>
              </w:rPr>
              <w:t xml:space="preserve">Prepared for:</w:t>
            </w:r>
          </w:p>
          <w:p>
            <w:pPr>
              <w:spacing w:after="80" w:before="0"/>
            </w:pPr>
            <w:r>
              <w:rPr>
                <w:rFonts w:ascii="Arial" w:cs="Arial" w:eastAsia="Arial" w:hAnsi="Arial"/>
                <w:b/>
                <w:bCs/>
                <w:color w:val="1A1A2E"/>
                <w:sz w:val="20"/>
                <w:szCs w:val="20"/>
              </w:rPr>
              <w:t xml:space="preserve">Grisedale Croft Working Group, Alston Moor Parish Council</w:t>
            </w:r>
          </w:p>
          <w:p>
            <w:pPr>
              <w:spacing w:after="40" w:before="0"/>
            </w:pPr>
            <w:r>
              <w:rPr>
                <w:rFonts w:ascii="Arial" w:cs="Arial" w:eastAsia="Arial" w:hAnsi="Arial"/>
                <w:b/>
                <w:bCs/>
                <w:color w:val="444444"/>
                <w:sz w:val="18"/>
                <w:szCs w:val="18"/>
              </w:rPr>
              <w:t xml:space="preserve">Date:</w:t>
            </w:r>
          </w:p>
          <w:p>
            <w:pPr>
              <w:spacing w:after="80" w:before="0"/>
            </w:pPr>
            <w:r>
              <w:rPr>
                <w:rFonts w:ascii="Arial" w:cs="Arial" w:eastAsia="Arial" w:hAnsi="Arial"/>
                <w:color w:val="1A1A2E"/>
                <w:sz w:val="20"/>
                <w:szCs w:val="20"/>
              </w:rPr>
              <w:t xml:space="preserve">May 2026</w:t>
            </w:r>
          </w:p>
          <w:p>
            <w:pPr>
              <w:spacing w:after="40" w:before="0"/>
            </w:pPr>
            <w:r>
              <w:rPr>
                <w:rFonts w:ascii="Arial" w:cs="Arial" w:eastAsia="Arial" w:hAnsi="Arial"/>
                <w:b/>
                <w:bCs/>
                <w:color w:val="444444"/>
                <w:sz w:val="18"/>
                <w:szCs w:val="18"/>
              </w:rPr>
              <w:t xml:space="preserve">Purpose:</w:t>
            </w:r>
          </w:p>
          <w:p>
            <w:pPr>
              <w:spacing w:after="0" w:before="0"/>
              <w:jc w:val="both"/>
            </w:pPr>
            <w:r>
              <w:rPr>
                <w:rFonts w:ascii="Arial" w:cs="Arial" w:eastAsia="Arial" w:hAnsi="Arial"/>
                <w:color w:val="1A1A2E"/>
                <w:sz w:val="20"/>
                <w:szCs w:val="20"/>
              </w:rPr>
              <w:t xml:space="preserve">A comprehensive reference document on the regulatory obligations governing established residential care homes and new-build care home development in England. Intended to support: (1) the challenge to WFC’s claimed ‘alternative building’ option; (2) demonstration of WFC’s ongoing obligations as registered provider; (3) the preliminary legal advice brief; and (4) the consultation response evidence base.</w:t>
            </w:r>
          </w:p>
        </w:tc>
      </w:tr>
    </w:tbl>
    <w:p>
      <w:pPr>
        <w:spacing w:after="0" w:before="240"/>
      </w:pPr>
    </w:p>
    <w:p>
      <w:pPr>
        <w:pStyle w:val="Heading1"/>
        <w:pBdr>
          <w:bottom w:val="single" w:color="5B2D8E" w:sz="6" w:space="4"/>
        </w:pBdr>
        <w:spacing w:after="120" w:before="360"/>
      </w:pPr>
      <w:r>
        <w:rPr>
          <w:rFonts w:ascii="Arial" w:cs="Arial" w:eastAsia="Arial" w:hAnsi="Arial"/>
          <w:b/>
          <w:bCs/>
          <w:color w:val="5B2D8E"/>
          <w:sz w:val="32"/>
          <w:szCs w:val="32"/>
        </w:rPr>
        <w:t xml:space="preserve">How to Use This Document</w:t>
      </w:r>
    </w:p>
    <w:p>
      <w:pPr>
        <w:spacing w:after="60" w:before="60"/>
        <w:jc w:val="both"/>
      </w:pPr>
      <w:r>
        <w:rPr>
          <w:rFonts w:ascii="Arial" w:cs="Arial" w:eastAsia="Arial" w:hAnsi="Arial"/>
          <w:color w:val="1A1A2E"/>
          <w:sz w:val="20"/>
          <w:szCs w:val="20"/>
        </w:rPr>
        <w:t xml:space="preserve">This briefing is organised into seven parts. Parts 1–3 cover the regulatory framework governing Grisedale Croft as an existing registered home. Parts 4–5 cover the additional regulatory and practical burden a replacement building would face. Parts 6–7 address the legal framework for challenging the consultation itself and the Council’s obligations to current residents.</w:t>
      </w:r>
    </w:p>
    <w:p>
      <w:pPr>
        <w:spacing w:after="60" w:before="60"/>
        <w:jc w:val="both"/>
      </w:pPr>
      <w:r>
        <w:rPr>
          <w:rFonts w:ascii="Arial" w:cs="Arial" w:eastAsia="Arial" w:hAnsi="Arial"/>
          <w:color w:val="1A1A2E"/>
          <w:sz w:val="20"/>
          <w:szCs w:val="20"/>
        </w:rPr>
        <w:t xml:space="preserve">Each section concludes with a ‘Campaign relevance’ note drawing the regulatory position explicitly back to Grisedale Croft. The Quick-Reference Table at the end lists every key instrument with its citation and primary URL.</w:t>
      </w:r>
    </w:p>
    <w:p>
      <w:pPr>
        <w:spacing w:after="60" w:before="60"/>
        <w:jc w:val="both"/>
      </w:pPr>
      <w:r>
        <w:rPr>
          <w:rFonts w:ascii="Arial" w:cs="Arial" w:eastAsia="Arial" w:hAnsi="Arial"/>
          <w:color w:val="1A1A2E"/>
          <w:sz w:val="20"/>
          <w:szCs w:val="20"/>
        </w:rPr>
        <w:t xml:space="preserve">This document does not constitute legal advice. Statements about legal risk are framed as matters the campaign ‘raises’ or that ‘engage’ relevant law. The distinction between ‘this may engage Article 8’ and ‘this is unlawful’ is preserved throughout.</w:t>
      </w:r>
    </w:p>
    <w:p>
      <w:pPr>
        <w:spacing w:after="0" w:before="120"/>
      </w:pPr>
    </w:p>
    <w:p>
      <w:pPr>
        <w:pStyle w:val="Heading1"/>
        <w:pBdr>
          <w:bottom w:val="single" w:color="5B2D8E" w:sz="6" w:space="4"/>
        </w:pBdr>
        <w:spacing w:after="120" w:before="360"/>
      </w:pPr>
      <w:r>
        <w:rPr>
          <w:rFonts w:ascii="Arial" w:cs="Arial" w:eastAsia="Arial" w:hAnsi="Arial"/>
          <w:b/>
          <w:bCs/>
          <w:color w:val="5B2D8E"/>
          <w:sz w:val="32"/>
          <w:szCs w:val="32"/>
        </w:rPr>
        <w:t xml:space="preserve">Part 1 — CQC Registration: The Framework Governing Grisedale Croft as an Existing Home</w:t>
      </w:r>
    </w:p>
    <w:p>
      <w:pPr>
        <w:pStyle w:val="Heading2"/>
        <w:spacing w:after="80" w:before="300"/>
      </w:pPr>
      <w:r>
        <w:rPr>
          <w:rFonts w:ascii="Arial" w:cs="Arial" w:eastAsia="Arial" w:hAnsi="Arial"/>
          <w:b/>
          <w:bCs/>
          <w:color w:val="1A1A2E"/>
          <w:sz w:val="26"/>
          <w:szCs w:val="26"/>
        </w:rPr>
        <w:t xml:space="preserve">1.1  The Statutory Basis for Registration</w:t>
      </w:r>
    </w:p>
    <w:p>
      <w:pPr>
        <w:spacing w:after="60" w:before="60"/>
        <w:jc w:val="both"/>
      </w:pPr>
      <w:r>
        <w:rPr>
          <w:rFonts w:ascii="Arial" w:cs="Arial" w:eastAsia="Arial" w:hAnsi="Arial"/>
          <w:color w:val="1A1A2E"/>
          <w:sz w:val="20"/>
          <w:szCs w:val="20"/>
        </w:rPr>
        <w:t xml:space="preserve">Every residential care home in England that provides accommodation together with personal care for adults must be registered with the Care Quality Commission (CQC) before it begins operating. The obligation arises under the Health and Social Care Act 2008 (‘the 2008 Act’) and the Care Standards Act 2000. Carrying on a regulated activity without registration is a criminal offence under s.10 of the 2008 Act, punishable by fine and/or imprisonment.</w:t>
      </w:r>
    </w:p>
    <w:p>
      <w:pPr>
        <w:spacing w:after="60" w:before="60"/>
        <w:jc w:val="both"/>
      </w:pPr>
      <w:r>
        <w:rPr>
          <w:rFonts w:ascii="Arial" w:cs="Arial" w:eastAsia="Arial" w:hAnsi="Arial"/>
          <w:color w:val="1A1A2E"/>
          <w:sz w:val="20"/>
          <w:szCs w:val="20"/>
        </w:rPr>
        <w:t xml:space="preserve">Grisedale Croft is registered by WFC as a care home provider for older people (including dementia care), people with physical disabilities and sensory impairments. It was re-registered by WFC on 1 April 2023 following the abolition of Cumbria County Council. Its current CQC location ID is 1-15199058166. The archived Cumbria County Council registration (location ID 1-2179919388) is deregistered, not dormant.</w:t>
      </w:r>
    </w:p>
    <w:p>
      <w:pPr>
        <w:spacing w:after="0"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5B2D8E" w:sz="1"/>
              <w:left w:val="single" w:color="5B2D8E" w:sz="12"/>
              <w:bottom w:val="single" w:color="5B2D8E" w:sz="1"/>
              <w:right w:val="single" w:color="CCCCCC" w:sz="1"/>
            </w:tcBorders>
            <w:shd w:fill="F2EEF8" w:val="clear"/>
            <w:tcMar>
              <w:top w:type="dxa" w:w="120"/>
              <w:left w:type="dxa" w:w="200"/>
              <w:bottom w:type="dxa" w:w="120"/>
              <w:right w:type="dxa" w:w="120"/>
            </w:tcMar>
          </w:tcPr>
          <w:p>
            <w:pPr>
              <w:spacing w:after="0" w:before="0"/>
            </w:pPr>
            <w:r>
              <w:rPr>
                <w:rFonts w:ascii="Arial" w:cs="Arial" w:eastAsia="Arial" w:hAnsi="Arial"/>
                <w:b/>
                <w:bCs/>
                <w:color w:val="5B2D8E"/>
                <w:sz w:val="20"/>
                <w:szCs w:val="20"/>
              </w:rPr>
              <w:t xml:space="preserve">Campaign relevance: </w:t>
            </w:r>
            <w:r>
              <w:rPr>
                <w:rFonts w:ascii="Arial" w:cs="Arial" w:eastAsia="Arial" w:hAnsi="Arial"/>
                <w:color w:val="1A1A2E"/>
                <w:sz w:val="20"/>
                <w:szCs w:val="20"/>
              </w:rPr>
              <w:t xml:space="preserve">The registration transfer from CCC to WFC on 1 April 2023 constitutes a fresh CQC registration. WFC has operated as the registered provider for over three years and has never been inspected in that capacity. The absence of any CQC assessment under WFC’s stewardship is a material gap in the evidence base underpinning the consultation.</w:t>
            </w:r>
          </w:p>
        </w:tc>
      </w:tr>
    </w:tbl>
    <w:p>
      <w:pPr>
        <w:spacing w:after="0" w:before="120"/>
      </w:pPr>
    </w:p>
    <w:p>
      <w:pPr>
        <w:pStyle w:val="Heading2"/>
        <w:spacing w:after="80" w:before="300"/>
      </w:pPr>
      <w:r>
        <w:rPr>
          <w:rFonts w:ascii="Arial" w:cs="Arial" w:eastAsia="Arial" w:hAnsi="Arial"/>
          <w:b/>
          <w:bCs/>
          <w:color w:val="1A1A2E"/>
          <w:sz w:val="26"/>
          <w:szCs w:val="26"/>
        </w:rPr>
        <w:t xml:space="preserve">1.2  The Fundamental Standards</w:t>
      </w:r>
    </w:p>
    <w:p>
      <w:pPr>
        <w:spacing w:after="60" w:before="60"/>
        <w:jc w:val="both"/>
      </w:pPr>
      <w:r>
        <w:rPr>
          <w:rFonts w:ascii="Arial" w:cs="Arial" w:eastAsia="Arial" w:hAnsi="Arial"/>
          <w:color w:val="1A1A2E"/>
          <w:sz w:val="20"/>
          <w:szCs w:val="20"/>
        </w:rPr>
        <w:t xml:space="preserve">The Health and Social Care Act 2008 (Regulated Activities) Regulations 2014 (SI 2014/2936) establish the ‘Fundamental Standards’ in Regulations 8 to 20A. These are the legal minimum standards below which care must never fall. They apply to Grisedale Croft as a registered care home and WFC as its registered provider. The thirteen standards relevant to a residential care home are:</w:t>
      </w:r>
    </w:p>
    <w:p>
      <w:pPr>
        <w:spacing w:after="0" w:before="40"/>
      </w:pPr>
    </w:p>
    <w:tbl>
      <w:tblPr>
        <w:tblW w:type="dxa" w:w="8226"/>
        <w:tblBorders>
          <w:top w:val="single" w:color="auto" w:sz="4"/>
          <w:left w:val="single" w:color="auto" w:sz="4"/>
          <w:bottom w:val="single" w:color="auto" w:sz="4"/>
          <w:right w:val="single" w:color="auto" w:sz="4"/>
          <w:insideH w:val="single" w:color="auto" w:sz="4"/>
          <w:insideV w:val="single" w:color="auto" w:sz="4"/>
        </w:tblBorders>
      </w:tblPr>
      <w:tblGrid>
        <w:gridCol w:w="800"/>
        <w:gridCol w:w="2200"/>
        <w:gridCol w:w="5226"/>
      </w:tblGrid>
      <w:tr>
        <w:trPr>
          <w:tblHeader/>
        </w:trPr>
        <w:tc>
          <w:tcPr>
            <w:tcW w:type="dxa" w:w="800"/>
            <w:tcBorders>
              <w:top w:val="single" w:color="5B2D8E" w:sz="1"/>
              <w:left w:val="single" w:color="5B2D8E" w:sz="1"/>
              <w:bottom w:val="single" w:color="5B2D8E" w:sz="1"/>
              <w:right w:val="single" w:color="5B2D8E" w:sz="1"/>
            </w:tcBorders>
            <w:shd w:fill="5B2D8E" w:val="clear"/>
            <w:tcMar>
              <w:top w:type="dxa" w:w="80"/>
              <w:left w:type="dxa" w:w="120"/>
              <w:bottom w:type="dxa" w:w="80"/>
              <w:right w:type="dxa" w:w="120"/>
            </w:tcMar>
          </w:tcPr>
          <w:p>
            <w:pPr>
              <w:spacing w:after="0" w:before="0"/>
            </w:pPr>
            <w:r>
              <w:rPr>
                <w:rFonts w:ascii="Arial" w:cs="Arial" w:eastAsia="Arial" w:hAnsi="Arial"/>
                <w:b/>
                <w:bCs/>
                <w:color w:val="FFFFFF"/>
                <w:sz w:val="18"/>
                <w:szCs w:val="18"/>
              </w:rPr>
              <w:t xml:space="preserve">Reg.</w:t>
            </w:r>
          </w:p>
        </w:tc>
        <w:tc>
          <w:tcPr>
            <w:tcW w:type="dxa" w:w="2200"/>
            <w:tcBorders>
              <w:top w:val="single" w:color="5B2D8E" w:sz="1"/>
              <w:left w:val="single" w:color="5B2D8E" w:sz="1"/>
              <w:bottom w:val="single" w:color="5B2D8E" w:sz="1"/>
              <w:right w:val="single" w:color="5B2D8E" w:sz="1"/>
            </w:tcBorders>
            <w:shd w:fill="5B2D8E" w:val="clear"/>
            <w:tcMar>
              <w:top w:type="dxa" w:w="80"/>
              <w:left w:type="dxa" w:w="120"/>
              <w:bottom w:type="dxa" w:w="80"/>
              <w:right w:type="dxa" w:w="120"/>
            </w:tcMar>
          </w:tcPr>
          <w:p>
            <w:pPr>
              <w:spacing w:after="0" w:before="0"/>
            </w:pPr>
            <w:r>
              <w:rPr>
                <w:rFonts w:ascii="Arial" w:cs="Arial" w:eastAsia="Arial" w:hAnsi="Arial"/>
                <w:b/>
                <w:bCs/>
                <w:color w:val="FFFFFF"/>
                <w:sz w:val="18"/>
                <w:szCs w:val="18"/>
              </w:rPr>
              <w:t xml:space="preserve">Standard</w:t>
            </w:r>
          </w:p>
        </w:tc>
        <w:tc>
          <w:tcPr>
            <w:tcW w:type="dxa" w:w="5226"/>
            <w:tcBorders>
              <w:top w:val="single" w:color="5B2D8E" w:sz="1"/>
              <w:left w:val="single" w:color="5B2D8E" w:sz="1"/>
              <w:bottom w:val="single" w:color="5B2D8E" w:sz="1"/>
              <w:right w:val="single" w:color="5B2D8E" w:sz="1"/>
            </w:tcBorders>
            <w:shd w:fill="5B2D8E" w:val="clear"/>
            <w:tcMar>
              <w:top w:type="dxa" w:w="80"/>
              <w:left w:type="dxa" w:w="120"/>
              <w:bottom w:type="dxa" w:w="80"/>
              <w:right w:type="dxa" w:w="120"/>
            </w:tcMar>
          </w:tcPr>
          <w:p>
            <w:pPr>
              <w:spacing w:after="0" w:before="0"/>
            </w:pPr>
            <w:r>
              <w:rPr>
                <w:rFonts w:ascii="Arial" w:cs="Arial" w:eastAsia="Arial" w:hAnsi="Arial"/>
                <w:b/>
                <w:bCs/>
                <w:color w:val="FFFFFF"/>
                <w:sz w:val="18"/>
                <w:szCs w:val="18"/>
              </w:rPr>
              <w:t xml:space="preserve">Core requirement</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Reg. 9</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Person-centred care</w:t>
            </w:r>
          </w:p>
        </w:tc>
        <w:tc>
          <w:tcPr>
            <w:tcW w:type="dxa" w:w="5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Care must be appropriate to and meet the needs and preferences of each service user. Care plans must be tailored to the individual.</w:t>
            </w:r>
          </w:p>
        </w:tc>
      </w:tr>
      <w:tr>
        <w:tc>
          <w:tcPr>
            <w:tcW w:type="dxa" w:w="8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Reg. 9A</w:t>
            </w:r>
          </w:p>
        </w:tc>
        <w:tc>
          <w:tcPr>
            <w:tcW w:type="dxa" w:w="22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Visiting and accompanying</w:t>
            </w:r>
          </w:p>
        </w:tc>
        <w:tc>
          <w:tcPr>
            <w:tcW w:type="dxa" w:w="52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Residents must be facilitated to receive visitors and must not be discouraged from leaving. Enforceable since 2022 following COVID restrictions.</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Reg. 10</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Dignity and respect</w:t>
            </w:r>
          </w:p>
        </w:tc>
        <w:tc>
          <w:tcPr>
            <w:tcW w:type="dxa" w:w="5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Residents must be treated with dignity and respect at all times, including their privacy.</w:t>
            </w:r>
          </w:p>
        </w:tc>
      </w:tr>
      <w:tr>
        <w:tc>
          <w:tcPr>
            <w:tcW w:type="dxa" w:w="8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Reg. 11</w:t>
            </w:r>
          </w:p>
        </w:tc>
        <w:tc>
          <w:tcPr>
            <w:tcW w:type="dxa" w:w="22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Need for consent</w:t>
            </w:r>
          </w:p>
        </w:tc>
        <w:tc>
          <w:tcPr>
            <w:tcW w:type="dxa" w:w="52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Care must only be provided with valid consent. Where capacity is absent, the Mental Capacity Act 2005 applies.</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Reg. 12</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Safe care and treatment</w:t>
            </w:r>
          </w:p>
        </w:tc>
        <w:tc>
          <w:tcPr>
            <w:tcW w:type="dxa" w:w="5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Risks must be assessed and mitigated. Medicines must be safely managed. Infection prevention and control standards must be met.</w:t>
            </w:r>
          </w:p>
        </w:tc>
      </w:tr>
      <w:tr>
        <w:tc>
          <w:tcPr>
            <w:tcW w:type="dxa" w:w="8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Reg. 13</w:t>
            </w:r>
          </w:p>
        </w:tc>
        <w:tc>
          <w:tcPr>
            <w:tcW w:type="dxa" w:w="22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Safeguarding service users</w:t>
            </w:r>
          </w:p>
        </w:tc>
        <w:tc>
          <w:tcPr>
            <w:tcW w:type="dxa" w:w="52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Providers must prevent abuse and improper treatment. Robust safeguarding systems are required.</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Reg. 14</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Meeting nutritional and hydration needs</w:t>
            </w:r>
          </w:p>
        </w:tc>
        <w:tc>
          <w:tcPr>
            <w:tcW w:type="dxa" w:w="5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Food and hydration must meet residents’ needs and preferences.</w:t>
            </w:r>
          </w:p>
        </w:tc>
      </w:tr>
      <w:tr>
        <w:tc>
          <w:tcPr>
            <w:tcW w:type="dxa" w:w="8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Reg. 15</w:t>
            </w:r>
          </w:p>
        </w:tc>
        <w:tc>
          <w:tcPr>
            <w:tcW w:type="dxa" w:w="22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Premises and equipment</w:t>
            </w:r>
          </w:p>
        </w:tc>
        <w:tc>
          <w:tcPr>
            <w:tcW w:type="dxa" w:w="52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Premises and equipment must be clean, appropriately maintained and suitable for the regulated activity.</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Reg. 16</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Receiving and acting on complaints</w:t>
            </w:r>
          </w:p>
        </w:tc>
        <w:tc>
          <w:tcPr>
            <w:tcW w:type="dxa" w:w="5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A robust, accessible complaints process must be in place.</w:t>
            </w:r>
          </w:p>
        </w:tc>
      </w:tr>
      <w:tr>
        <w:tc>
          <w:tcPr>
            <w:tcW w:type="dxa" w:w="8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Reg. 17</w:t>
            </w:r>
          </w:p>
        </w:tc>
        <w:tc>
          <w:tcPr>
            <w:tcW w:type="dxa" w:w="22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Good governance</w:t>
            </w:r>
          </w:p>
        </w:tc>
        <w:tc>
          <w:tcPr>
            <w:tcW w:type="dxa" w:w="52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Providers must maintain effective governance, assurance and quality improvement systems.</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Reg. 18</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Staffing</w:t>
            </w:r>
          </w:p>
        </w:tc>
        <w:tc>
          <w:tcPr>
            <w:tcW w:type="dxa" w:w="5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Sufficient numbers of suitably qualified, competent and experienced staff must be deployed at all times.</w:t>
            </w:r>
          </w:p>
        </w:tc>
      </w:tr>
      <w:tr>
        <w:tc>
          <w:tcPr>
            <w:tcW w:type="dxa" w:w="8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Reg. 19</w:t>
            </w:r>
          </w:p>
        </w:tc>
        <w:tc>
          <w:tcPr>
            <w:tcW w:type="dxa" w:w="22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Fit and proper persons employed</w:t>
            </w:r>
          </w:p>
        </w:tc>
        <w:tc>
          <w:tcPr>
            <w:tcW w:type="dxa" w:w="52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Staff must be of good character and have the skills required for their role. Pre-employment checks required.</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Reg. 20</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Duty of candour</w:t>
            </w:r>
          </w:p>
        </w:tc>
        <w:tc>
          <w:tcPr>
            <w:tcW w:type="dxa" w:w="5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Providers must be open and transparent with residents and families, especially when things go wrong.</w:t>
            </w:r>
          </w:p>
        </w:tc>
      </w:tr>
    </w:tbl>
    <w:p>
      <w:pPr>
        <w:spacing w:after="0" w:before="120"/>
      </w:pPr>
    </w:p>
    <w:p>
      <w:pPr>
        <w:spacing w:after="60" w:before="60"/>
        <w:jc w:val="both"/>
      </w:pPr>
      <w:r>
        <w:rPr>
          <w:rFonts w:ascii="Arial" w:cs="Arial" w:eastAsia="Arial" w:hAnsi="Arial"/>
          <w:color w:val="1A1A2E"/>
          <w:sz w:val="20"/>
          <w:szCs w:val="20"/>
        </w:rPr>
        <w:t xml:space="preserve">Source: SI 2014/2936, Part 3, as amended to 6 April 2024. Full text: https://www.legislation.gov.uk/uksi/2014/2936/part/3</w:t>
      </w:r>
    </w:p>
    <w:p>
      <w:pPr>
        <w:spacing w:after="0"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5B2D8E" w:sz="1"/>
              <w:left w:val="single" w:color="5B2D8E" w:sz="12"/>
              <w:bottom w:val="single" w:color="5B2D8E" w:sz="1"/>
              <w:right w:val="single" w:color="CCCCCC" w:sz="1"/>
            </w:tcBorders>
            <w:shd w:fill="F2EEF8" w:val="clear"/>
            <w:tcMar>
              <w:top w:type="dxa" w:w="120"/>
              <w:left w:type="dxa" w:w="200"/>
              <w:bottom w:type="dxa" w:w="120"/>
              <w:right w:type="dxa" w:w="120"/>
            </w:tcMar>
          </w:tcPr>
          <w:p>
            <w:pPr>
              <w:spacing w:after="0" w:before="0"/>
            </w:pPr>
            <w:r>
              <w:rPr>
                <w:rFonts w:ascii="Arial" w:cs="Arial" w:eastAsia="Arial" w:hAnsi="Arial"/>
                <w:b/>
                <w:bCs/>
                <w:color w:val="5B2D8E"/>
                <w:sz w:val="20"/>
                <w:szCs w:val="20"/>
              </w:rPr>
              <w:t xml:space="preserve">Campaign relevance: </w:t>
            </w:r>
            <w:r>
              <w:rPr>
                <w:rFonts w:ascii="Arial" w:cs="Arial" w:eastAsia="Arial" w:hAnsi="Arial"/>
                <w:color w:val="1A1A2E"/>
                <w:sz w:val="20"/>
                <w:szCs w:val="20"/>
              </w:rPr>
              <w:t xml:space="preserve">The Fundamental Standards require that Grisedale Croft residents are receiving care that meets Regs 9–20 continuously. Any decision to close must account for Reg. 9 (person-centred needs), Reg. 9A (right to receive visitors at the home), Reg. 10 (dignity) and Reg. 15 (suitability of premises). The Council is currently both the provider responsible for meeting these standards and the authority proposing the closure — a dual role that sharpens the duty to consult properly.</w:t>
            </w:r>
          </w:p>
        </w:tc>
      </w:tr>
    </w:tbl>
    <w:p>
      <w:pPr>
        <w:spacing w:after="0" w:before="120"/>
      </w:pPr>
    </w:p>
    <w:p>
      <w:pPr>
        <w:pStyle w:val="Heading2"/>
        <w:spacing w:after="80" w:before="300"/>
      </w:pPr>
      <w:r>
        <w:rPr>
          <w:rFonts w:ascii="Arial" w:cs="Arial" w:eastAsia="Arial" w:hAnsi="Arial"/>
          <w:b/>
          <w:bCs/>
          <w:color w:val="1A1A2E"/>
          <w:sz w:val="26"/>
          <w:szCs w:val="26"/>
        </w:rPr>
        <w:t xml:space="preserve">1.3  CQC’s Inspection Obligations and the Gap in WFC’s Record</w:t>
      </w:r>
    </w:p>
    <w:p>
      <w:pPr>
        <w:spacing w:after="60" w:before="60"/>
        <w:jc w:val="both"/>
      </w:pPr>
      <w:r>
        <w:rPr>
          <w:rFonts w:ascii="Arial" w:cs="Arial" w:eastAsia="Arial" w:hAnsi="Arial"/>
          <w:color w:val="1A1A2E"/>
          <w:sz w:val="20"/>
          <w:szCs w:val="20"/>
        </w:rPr>
        <w:t xml:space="preserve">Under the 2008 Act, the CQC is required to keep the quality and safety of registered services under review. This includes periodic inspections. The last full inspection of Grisedale Croft took place on 10 October 2018, under the Cumbria County Council registration. The home was rated Good overall and Good in every domain. The only subsequent visit — on 5 November 2020 — was a COVID-19 infection prevention and control thematic review, not a full inspection, and the 2018 Good rating was carried forward.</w:t>
      </w:r>
    </w:p>
    <w:p>
      <w:pPr>
        <w:spacing w:after="60" w:before="60"/>
        <w:jc w:val="both"/>
      </w:pPr>
      <w:r>
        <w:rPr>
          <w:rFonts w:ascii="Arial" w:cs="Arial" w:eastAsia="Arial" w:hAnsi="Arial"/>
          <w:color w:val="1A1A2E"/>
          <w:sz w:val="20"/>
          <w:szCs w:val="20"/>
        </w:rPr>
        <w:t xml:space="preserve">Grisedale Croft has never been inspected under the WFC registration that has been in force since 1 April 2023. That is a period of over three years without a full inspection. The CQC’s own published assessment of WFC (February 2026) identified concerns about the Council’s adult social care quality and governance systems, but this assessment related to WFC’s commissioning role, not its registered-provider role at Grisedale Croft.</w:t>
      </w:r>
    </w:p>
    <w:p>
      <w:pPr>
        <w:spacing w:after="0"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5B2D8E" w:sz="1"/>
              <w:left w:val="single" w:color="5B2D8E" w:sz="12"/>
              <w:bottom w:val="single" w:color="5B2D8E" w:sz="1"/>
              <w:right w:val="single" w:color="CCCCCC" w:sz="1"/>
            </w:tcBorders>
            <w:shd w:fill="F2EEF8" w:val="clear"/>
            <w:tcMar>
              <w:top w:type="dxa" w:w="120"/>
              <w:left w:type="dxa" w:w="200"/>
              <w:bottom w:type="dxa" w:w="120"/>
              <w:right w:type="dxa" w:w="120"/>
            </w:tcMar>
          </w:tcPr>
          <w:p>
            <w:pPr>
              <w:spacing w:after="0" w:before="0"/>
            </w:pPr>
            <w:r>
              <w:rPr>
                <w:rFonts w:ascii="Arial" w:cs="Arial" w:eastAsia="Arial" w:hAnsi="Arial"/>
                <w:b/>
                <w:bCs/>
                <w:color w:val="5B2D8E"/>
                <w:sz w:val="20"/>
                <w:szCs w:val="20"/>
              </w:rPr>
              <w:t xml:space="preserve">Campaign relevance: </w:t>
            </w:r>
            <w:r>
              <w:rPr>
                <w:rFonts w:ascii="Arial" w:cs="Arial" w:eastAsia="Arial" w:hAnsi="Arial"/>
                <w:color w:val="1A1A2E"/>
                <w:sz w:val="20"/>
                <w:szCs w:val="20"/>
              </w:rPr>
              <w:t xml:space="preserve">WFC’s consultation is based on a home that the regulator has not inspected under WFC’s stewardship. The evidential basis for any conclusion about the home’s current quality, safety or fitness for purpose is accordingly thin. An independent CQC inspection — or, failing that, a Healthwatch Enter and View visit — would provide the factual foundation that is currently absent from the consultation record.</w:t>
            </w:r>
          </w:p>
        </w:tc>
      </w:tr>
    </w:tbl>
    <w:p>
      <w:pPr>
        <w:spacing w:after="0" w:before="120"/>
      </w:pPr>
    </w:p>
    <w:p>
      <w:pPr>
        <w:pStyle w:val="Heading2"/>
        <w:spacing w:after="80" w:before="300"/>
      </w:pPr>
      <w:r>
        <w:rPr>
          <w:rFonts w:ascii="Arial" w:cs="Arial" w:eastAsia="Arial" w:hAnsi="Arial"/>
          <w:b/>
          <w:bCs/>
          <w:color w:val="1A1A2E"/>
          <w:sz w:val="26"/>
          <w:szCs w:val="26"/>
        </w:rPr>
        <w:t xml:space="preserve">1.4  Notification Obligations on Closure</w:t>
      </w:r>
    </w:p>
    <w:p>
      <w:pPr>
        <w:spacing w:after="60" w:before="60"/>
        <w:jc w:val="both"/>
      </w:pPr>
      <w:r>
        <w:rPr>
          <w:rFonts w:ascii="Arial" w:cs="Arial" w:eastAsia="Arial" w:hAnsi="Arial"/>
          <w:color w:val="1A1A2E"/>
          <w:sz w:val="20"/>
          <w:szCs w:val="20"/>
        </w:rPr>
        <w:t xml:space="preserve">Under Regulation 15 of the CQC Registration Regulations 2009 (SI 2009/3112), a registered provider must notify the CQC of specific changes in the running of a service, including the closure of the service. Failure to comply with this notification obligation is an offence for which the CQC can move directly to prosecution without first issuing a warning notice (CQC, Regulation 15 guidance).</w:t>
      </w:r>
    </w:p>
    <w:p>
      <w:pPr>
        <w:spacing w:after="60" w:before="60"/>
        <w:jc w:val="both"/>
      </w:pPr>
      <w:r>
        <w:rPr>
          <w:rFonts w:ascii="Arial" w:cs="Arial" w:eastAsia="Arial" w:hAnsi="Arial"/>
          <w:color w:val="1A1A2E"/>
          <w:sz w:val="20"/>
          <w:szCs w:val="20"/>
        </w:rPr>
        <w:t xml:space="preserve">If WFC were to close Grisedale Croft, it would be required to notify the CQC of the cessation of the regulated activity ‘Accommodation for persons who require nursing or personal care’ at that location and apply to remove the location from its CQC registration. The CQC would then formally deregister the location. There is no provision in the regulatory framework for a care home to be ‘placed in abeyance’ while an alternative building is found.</w:t>
      </w:r>
    </w:p>
    <w:p>
      <w:pPr>
        <w:spacing w:after="0"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5B2D8E" w:sz="1"/>
              <w:left w:val="single" w:color="5B2D8E" w:sz="12"/>
              <w:bottom w:val="single" w:color="5B2D8E" w:sz="1"/>
              <w:right w:val="single" w:color="CCCCCC" w:sz="1"/>
            </w:tcBorders>
            <w:shd w:fill="F2EEF8" w:val="clear"/>
            <w:tcMar>
              <w:top w:type="dxa" w:w="120"/>
              <w:left w:type="dxa" w:w="200"/>
              <w:bottom w:type="dxa" w:w="120"/>
              <w:right w:type="dxa" w:w="120"/>
            </w:tcMar>
          </w:tcPr>
          <w:p>
            <w:pPr>
              <w:spacing w:after="0" w:before="0"/>
            </w:pPr>
            <w:r>
              <w:rPr>
                <w:rFonts w:ascii="Arial" w:cs="Arial" w:eastAsia="Arial" w:hAnsi="Arial"/>
                <w:b/>
                <w:bCs/>
                <w:color w:val="5B2D8E"/>
                <w:sz w:val="20"/>
                <w:szCs w:val="20"/>
              </w:rPr>
              <w:t xml:space="preserve">Campaign relevance: </w:t>
            </w:r>
            <w:r>
              <w:rPr>
                <w:rFonts w:ascii="Arial" w:cs="Arial" w:eastAsia="Arial" w:hAnsi="Arial"/>
                <w:color w:val="1A1A2E"/>
                <w:sz w:val="20"/>
                <w:szCs w:val="20"/>
              </w:rPr>
              <w:t xml:space="preserve">WFC’s preferred option — to close Grisedale Croft and find an ‘alternative building in the local area’ — would in regulatory terms require deregistration of the existing location and a fresh CQC registration application for any replacement. There is no continuity of registration; the two are entirely separate regulatory processes with no guaranteed timeline. See Part 4 below.</w:t>
            </w:r>
          </w:p>
        </w:tc>
      </w:tr>
    </w:tbl>
    <w:p>
      <w:pPr>
        <w:spacing w:after="0" w:before="120"/>
      </w:pPr>
    </w:p>
    <w:p>
      <w:pPr>
        <w:pStyle w:val="Heading1"/>
        <w:pBdr>
          <w:bottom w:val="single" w:color="5B2D8E" w:sz="6" w:space="4"/>
        </w:pBdr>
        <w:spacing w:after="120" w:before="360"/>
      </w:pPr>
      <w:r>
        <w:rPr>
          <w:rFonts w:ascii="Arial" w:cs="Arial" w:eastAsia="Arial" w:hAnsi="Arial"/>
          <w:b/>
          <w:bCs/>
          <w:color w:val="5B2D8E"/>
          <w:sz w:val="32"/>
          <w:szCs w:val="32"/>
        </w:rPr>
        <w:t xml:space="preserve">Part 2 — The Care Act 2014: Local Authority Duties</w:t>
      </w:r>
    </w:p>
    <w:p>
      <w:pPr>
        <w:spacing w:after="60" w:before="60"/>
        <w:jc w:val="both"/>
      </w:pPr>
      <w:r>
        <w:rPr>
          <w:rFonts w:ascii="Arial" w:cs="Arial" w:eastAsia="Arial" w:hAnsi="Arial"/>
          <w:color w:val="1A1A2E"/>
          <w:sz w:val="20"/>
          <w:szCs w:val="20"/>
        </w:rPr>
        <w:t xml:space="preserve">The Care Act 2014 (c.23) is the primary legislation governing the duties of local authorities in England in relation to adult social care. Several of its provisions are directly engaged by a decision to close Grisedale Croft.</w:t>
      </w:r>
    </w:p>
    <w:p>
      <w:pPr>
        <w:pStyle w:val="Heading2"/>
        <w:spacing w:after="80" w:before="300"/>
      </w:pPr>
      <w:r>
        <w:rPr>
          <w:rFonts w:ascii="Arial" w:cs="Arial" w:eastAsia="Arial" w:hAnsi="Arial"/>
          <w:b/>
          <w:bCs/>
          <w:color w:val="1A1A2E"/>
          <w:sz w:val="26"/>
          <w:szCs w:val="26"/>
        </w:rPr>
        <w:t xml:space="preserve">2.1  The Wellbeing Duty (Section 1)</w:t>
      </w:r>
    </w:p>
    <w:p>
      <w:pPr>
        <w:spacing w:after="60" w:before="60"/>
        <w:jc w:val="both"/>
      </w:pPr>
      <w:r>
        <w:rPr>
          <w:rFonts w:ascii="Arial" w:cs="Arial" w:eastAsia="Arial" w:hAnsi="Arial"/>
          <w:color w:val="1A1A2E"/>
          <w:sz w:val="20"/>
          <w:szCs w:val="20"/>
        </w:rPr>
        <w:t xml:space="preserve">Section 1 of the Care Act 2014 requires a local authority, when exercising any function under Part 1 of the Act, to promote the individual wellbeing of those who may be affected. Section 1(2) defines wellbeing as including:</w:t>
      </w:r>
    </w:p>
    <w:p>
      <w:pPr>
        <w:pStyle w:val="ListParagraph"/>
        <w:numPr>
          <w:ilvl w:val="0"/>
          <w:numId w:val="2"/>
        </w:numPr>
        <w:spacing w:after="40" w:before="40"/>
      </w:pPr>
      <w:r>
        <w:rPr>
          <w:rFonts w:ascii="Arial" w:cs="Arial" w:eastAsia="Arial" w:hAnsi="Arial"/>
          <w:color w:val="1A1A2E"/>
          <w:sz w:val="20"/>
          <w:szCs w:val="20"/>
        </w:rPr>
        <w:t xml:space="preserve">personal dignity (including treatment of the individual with respect)</w:t>
      </w:r>
    </w:p>
    <w:p>
      <w:pPr>
        <w:pStyle w:val="ListParagraph"/>
        <w:numPr>
          <w:ilvl w:val="0"/>
          <w:numId w:val="2"/>
        </w:numPr>
        <w:spacing w:after="40" w:before="40"/>
      </w:pPr>
      <w:r>
        <w:rPr>
          <w:rFonts w:ascii="Arial" w:cs="Arial" w:eastAsia="Arial" w:hAnsi="Arial"/>
          <w:color w:val="1A1A2E"/>
          <w:sz w:val="20"/>
          <w:szCs w:val="20"/>
        </w:rPr>
        <w:t xml:space="preserve">physical and mental health and emotional wellbeing</w:t>
      </w:r>
    </w:p>
    <w:p>
      <w:pPr>
        <w:pStyle w:val="ListParagraph"/>
        <w:numPr>
          <w:ilvl w:val="0"/>
          <w:numId w:val="2"/>
        </w:numPr>
        <w:spacing w:after="40" w:before="40"/>
      </w:pPr>
      <w:r>
        <w:rPr>
          <w:rFonts w:ascii="Arial" w:cs="Arial" w:eastAsia="Arial" w:hAnsi="Arial"/>
          <w:color w:val="1A1A2E"/>
          <w:sz w:val="20"/>
          <w:szCs w:val="20"/>
        </w:rPr>
        <w:t xml:space="preserve">control by the individual over day-to-day life</w:t>
      </w:r>
    </w:p>
    <w:p>
      <w:pPr>
        <w:pStyle w:val="ListParagraph"/>
        <w:numPr>
          <w:ilvl w:val="0"/>
          <w:numId w:val="2"/>
        </w:numPr>
        <w:spacing w:after="40" w:before="40"/>
      </w:pPr>
      <w:r>
        <w:rPr>
          <w:rFonts w:ascii="Arial" w:cs="Arial" w:eastAsia="Arial" w:hAnsi="Arial"/>
          <w:color w:val="1A1A2E"/>
          <w:sz w:val="20"/>
          <w:szCs w:val="20"/>
        </w:rPr>
        <w:t xml:space="preserve">participation in work, education, training or recreation</w:t>
      </w:r>
    </w:p>
    <w:p>
      <w:pPr>
        <w:pStyle w:val="ListParagraph"/>
        <w:numPr>
          <w:ilvl w:val="0"/>
          <w:numId w:val="2"/>
        </w:numPr>
        <w:spacing w:after="40" w:before="40"/>
      </w:pPr>
      <w:r>
        <w:rPr>
          <w:rFonts w:ascii="Arial" w:cs="Arial" w:eastAsia="Arial" w:hAnsi="Arial"/>
          <w:color w:val="1A1A2E"/>
          <w:sz w:val="20"/>
          <w:szCs w:val="20"/>
        </w:rPr>
        <w:t xml:space="preserve">social and economic wellbeing</w:t>
      </w:r>
    </w:p>
    <w:p>
      <w:pPr>
        <w:pStyle w:val="ListParagraph"/>
        <w:numPr>
          <w:ilvl w:val="0"/>
          <w:numId w:val="2"/>
        </w:numPr>
        <w:spacing w:after="40" w:before="40"/>
      </w:pPr>
      <w:r>
        <w:rPr>
          <w:rFonts w:ascii="Arial" w:cs="Arial" w:eastAsia="Arial" w:hAnsi="Arial"/>
          <w:color w:val="1A1A2E"/>
          <w:sz w:val="20"/>
          <w:szCs w:val="20"/>
        </w:rPr>
        <w:t xml:space="preserve">domestic, family and personal relationships</w:t>
      </w:r>
    </w:p>
    <w:p>
      <w:pPr>
        <w:pStyle w:val="ListParagraph"/>
        <w:numPr>
          <w:ilvl w:val="0"/>
          <w:numId w:val="2"/>
        </w:numPr>
        <w:spacing w:after="40" w:before="40"/>
      </w:pPr>
      <w:r>
        <w:rPr>
          <w:rFonts w:ascii="Arial" w:cs="Arial" w:eastAsia="Arial" w:hAnsi="Arial"/>
          <w:color w:val="1A1A2E"/>
          <w:sz w:val="20"/>
          <w:szCs w:val="20"/>
        </w:rPr>
        <w:t xml:space="preserve">suitability of living accommodation</w:t>
      </w:r>
    </w:p>
    <w:p>
      <w:pPr>
        <w:pStyle w:val="ListParagraph"/>
        <w:numPr>
          <w:ilvl w:val="0"/>
          <w:numId w:val="2"/>
        </w:numPr>
        <w:spacing w:after="40" w:before="40"/>
      </w:pPr>
      <w:r>
        <w:rPr>
          <w:rFonts w:ascii="Arial" w:cs="Arial" w:eastAsia="Arial" w:hAnsi="Arial"/>
          <w:color w:val="1A1A2E"/>
          <w:sz w:val="20"/>
          <w:szCs w:val="20"/>
        </w:rPr>
        <w:t xml:space="preserve">the individual’s contribution to society</w:t>
      </w:r>
    </w:p>
    <w:p>
      <w:pPr>
        <w:spacing w:after="0" w:before="80"/>
      </w:pPr>
    </w:p>
    <w:p>
      <w:pPr>
        <w:spacing w:after="60" w:before="60"/>
        <w:jc w:val="both"/>
      </w:pPr>
      <w:r>
        <w:rPr>
          <w:rFonts w:ascii="Arial" w:cs="Arial" w:eastAsia="Arial" w:hAnsi="Arial"/>
          <w:color w:val="1A1A2E"/>
          <w:sz w:val="20"/>
          <w:szCs w:val="20"/>
        </w:rPr>
        <w:t xml:space="preserve">Critically, section 1(3) requires the local authority to ‘have regard to all the individual’s circumstances’ when exercising the wellbeing duty. This is not a generic assessment; it requires the Council to consider the specific circumstances of each Grisedale Croft resident and, for the purposes of the market-shaping duty (s.5), the specific circumstances of the Alston Moor population.</w:t>
      </w:r>
    </w:p>
    <w:p>
      <w:pPr>
        <w:spacing w:after="60" w:before="60"/>
        <w:jc w:val="both"/>
      </w:pPr>
      <w:r>
        <w:rPr>
          <w:rFonts w:ascii="Arial" w:cs="Arial" w:eastAsia="Arial" w:hAnsi="Arial"/>
          <w:color w:val="1A1A2E"/>
          <w:sz w:val="20"/>
          <w:szCs w:val="20"/>
        </w:rPr>
        <w:t xml:space="preserve">Source: https://www.legislation.gov.uk/ukpga/2014/23/section/1</w:t>
      </w:r>
    </w:p>
    <w:p>
      <w:pPr>
        <w:spacing w:after="0"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5B2D8E" w:sz="1"/>
              <w:left w:val="single" w:color="5B2D8E" w:sz="12"/>
              <w:bottom w:val="single" w:color="5B2D8E" w:sz="1"/>
              <w:right w:val="single" w:color="CCCCCC" w:sz="1"/>
            </w:tcBorders>
            <w:shd w:fill="F2EEF8" w:val="clear"/>
            <w:tcMar>
              <w:top w:type="dxa" w:w="120"/>
              <w:left w:type="dxa" w:w="200"/>
              <w:bottom w:type="dxa" w:w="120"/>
              <w:right w:type="dxa" w:w="120"/>
            </w:tcMar>
          </w:tcPr>
          <w:p>
            <w:pPr>
              <w:spacing w:after="0" w:before="0"/>
            </w:pPr>
            <w:r>
              <w:rPr>
                <w:rFonts w:ascii="Arial" w:cs="Arial" w:eastAsia="Arial" w:hAnsi="Arial"/>
                <w:b/>
                <w:bCs/>
                <w:color w:val="5B2D8E"/>
                <w:sz w:val="20"/>
                <w:szCs w:val="20"/>
              </w:rPr>
              <w:t xml:space="preserve">Campaign relevance: </w:t>
            </w:r>
            <w:r>
              <w:rPr>
                <w:rFonts w:ascii="Arial" w:cs="Arial" w:eastAsia="Arial" w:hAnsi="Arial"/>
                <w:color w:val="1A1A2E"/>
                <w:sz w:val="20"/>
                <w:szCs w:val="20"/>
              </w:rPr>
              <w:t xml:space="preserve">The displacement of an Alston Moor resident to a care home 20–30 miles away is not the same wellbeing outcome as a placement in Alston. For an elderly resident whose family is in Alston, whose GP is in Alston, and whose community ties are to Alston, displacement severs the domestic, family and personal relationships that s.1(2)(f) explicitly includes in the wellbeing definition. A decision to close Grisedale Croft without addressing this is arguably inconsistent with WFC’s s.1 duty as applied to current residents.</w:t>
            </w:r>
          </w:p>
        </w:tc>
      </w:tr>
    </w:tbl>
    <w:p>
      <w:pPr>
        <w:spacing w:after="0" w:before="120"/>
      </w:pPr>
    </w:p>
    <w:p>
      <w:pPr>
        <w:pStyle w:val="Heading2"/>
        <w:spacing w:after="80" w:before="300"/>
      </w:pPr>
      <w:r>
        <w:rPr>
          <w:rFonts w:ascii="Arial" w:cs="Arial" w:eastAsia="Arial" w:hAnsi="Arial"/>
          <w:b/>
          <w:bCs/>
          <w:color w:val="1A1A2E"/>
          <w:sz w:val="26"/>
          <w:szCs w:val="26"/>
        </w:rPr>
        <w:t xml:space="preserve">2.2  Market Shaping and Sufficiency (Section 5)</w:t>
      </w:r>
    </w:p>
    <w:p>
      <w:pPr>
        <w:spacing w:after="60" w:before="60"/>
        <w:jc w:val="both"/>
      </w:pPr>
      <w:r>
        <w:rPr>
          <w:rFonts w:ascii="Arial" w:cs="Arial" w:eastAsia="Arial" w:hAnsi="Arial"/>
          <w:color w:val="1A1A2E"/>
          <w:sz w:val="20"/>
          <w:szCs w:val="20"/>
        </w:rPr>
        <w:t xml:space="preserve">Section 5 of the Care Act 2014 imposes a duty on local authorities to ‘promote the efficient and effective operation of a market in services for meeting care and support needs’ with a view to ensuring that any person in its area wishing to access services has:</w:t>
      </w:r>
    </w:p>
    <w:p>
      <w:pPr>
        <w:pStyle w:val="ListParagraph"/>
        <w:numPr>
          <w:ilvl w:val="0"/>
          <w:numId w:val="2"/>
        </w:numPr>
        <w:spacing w:after="40" w:before="40"/>
      </w:pPr>
      <w:r>
        <w:rPr>
          <w:rFonts w:ascii="Arial" w:cs="Arial" w:eastAsia="Arial" w:hAnsi="Arial"/>
          <w:color w:val="1A1A2E"/>
          <w:sz w:val="20"/>
          <w:szCs w:val="20"/>
        </w:rPr>
        <w:t xml:space="preserve">a variety of providers to choose from;</w:t>
      </w:r>
    </w:p>
    <w:p>
      <w:pPr>
        <w:pStyle w:val="ListParagraph"/>
        <w:numPr>
          <w:ilvl w:val="0"/>
          <w:numId w:val="2"/>
        </w:numPr>
        <w:spacing w:after="40" w:before="40"/>
      </w:pPr>
      <w:r>
        <w:rPr>
          <w:rFonts w:ascii="Arial" w:cs="Arial" w:eastAsia="Arial" w:hAnsi="Arial"/>
          <w:color w:val="1A1A2E"/>
          <w:sz w:val="20"/>
          <w:szCs w:val="20"/>
        </w:rPr>
        <w:t xml:space="preserve">a variety of high-quality services to choose from; and</w:t>
      </w:r>
    </w:p>
    <w:p>
      <w:pPr>
        <w:pStyle w:val="ListParagraph"/>
        <w:numPr>
          <w:ilvl w:val="0"/>
          <w:numId w:val="2"/>
        </w:numPr>
        <w:spacing w:after="40" w:before="40"/>
      </w:pPr>
      <w:r>
        <w:rPr>
          <w:rFonts w:ascii="Arial" w:cs="Arial" w:eastAsia="Arial" w:hAnsi="Arial"/>
          <w:color w:val="1A1A2E"/>
          <w:sz w:val="20"/>
          <w:szCs w:val="20"/>
        </w:rPr>
        <w:t xml:space="preserve">sufficient information to make an informed decision.</w:t>
      </w:r>
    </w:p>
    <w:p>
      <w:pPr>
        <w:spacing w:after="0" w:before="80"/>
      </w:pPr>
    </w:p>
    <w:p>
      <w:pPr>
        <w:spacing w:after="60" w:before="60"/>
        <w:jc w:val="both"/>
      </w:pPr>
      <w:r>
        <w:rPr>
          <w:rFonts w:ascii="Arial" w:cs="Arial" w:eastAsia="Arial" w:hAnsi="Arial"/>
          <w:color w:val="1A1A2E"/>
          <w:sz w:val="20"/>
          <w:szCs w:val="20"/>
        </w:rPr>
        <w:t xml:space="preserve">Section 5(3) further requires the local authority to ‘have regard to the need to ensure that sufficient services are available for meeting the needs for care and support of adults in its area’. Section 5(4) requires the local authority, when arranging provision by third parties, to have regard to the importance of promoting wellbeing.</w:t>
      </w:r>
    </w:p>
    <w:p>
      <w:pPr>
        <w:spacing w:after="60" w:before="60"/>
        <w:jc w:val="both"/>
      </w:pPr>
      <w:r>
        <w:rPr>
          <w:rFonts w:ascii="Arial" w:cs="Arial" w:eastAsia="Arial" w:hAnsi="Arial"/>
          <w:color w:val="1A1A2E"/>
          <w:sz w:val="20"/>
          <w:szCs w:val="20"/>
        </w:rPr>
        <w:t xml:space="preserve">The Statutory Guidance to the Care Act (updated 2023) makes clear at paragraph 4.7 that market-shaping includes engaging with stakeholders to ‘signal to the market the types of services needed now and in the future’ and to ‘encourage innovation, investment and continuous improvement’.</w:t>
      </w:r>
    </w:p>
    <w:p>
      <w:pPr>
        <w:spacing w:after="60" w:before="60"/>
        <w:jc w:val="both"/>
      </w:pPr>
      <w:r>
        <w:rPr>
          <w:rFonts w:ascii="Arial" w:cs="Arial" w:eastAsia="Arial" w:hAnsi="Arial"/>
          <w:color w:val="1A1A2E"/>
          <w:sz w:val="20"/>
          <w:szCs w:val="20"/>
        </w:rPr>
        <w:t xml:space="preserve">Source: https://www.legislation.gov.uk/ukpga/2014/23/section/5  |  Guidance: https://www.gov.uk/government/publications/care-act-statutory-guidance/care-and-support-statutory-guidance</w:t>
      </w:r>
    </w:p>
    <w:p>
      <w:pPr>
        <w:spacing w:after="0"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5B2D8E" w:sz="1"/>
              <w:left w:val="single" w:color="5B2D8E" w:sz="12"/>
              <w:bottom w:val="single" w:color="5B2D8E" w:sz="1"/>
              <w:right w:val="single" w:color="CCCCCC" w:sz="1"/>
            </w:tcBorders>
            <w:shd w:fill="F2EEF8" w:val="clear"/>
            <w:tcMar>
              <w:top w:type="dxa" w:w="120"/>
              <w:left w:type="dxa" w:w="200"/>
              <w:bottom w:type="dxa" w:w="120"/>
              <w:right w:type="dxa" w:w="120"/>
            </w:tcMar>
          </w:tcPr>
          <w:p>
            <w:pPr>
              <w:spacing w:after="0" w:before="0"/>
            </w:pPr>
            <w:r>
              <w:rPr>
                <w:rFonts w:ascii="Arial" w:cs="Arial" w:eastAsia="Arial" w:hAnsi="Arial"/>
                <w:b/>
                <w:bCs/>
                <w:color w:val="5B2D8E"/>
                <w:sz w:val="20"/>
                <w:szCs w:val="20"/>
              </w:rPr>
              <w:t xml:space="preserve">Campaign relevance: </w:t>
            </w:r>
            <w:r>
              <w:rPr>
                <w:rFonts w:ascii="Arial" w:cs="Arial" w:eastAsia="Arial" w:hAnsi="Arial"/>
                <w:color w:val="1A1A2E"/>
                <w:sz w:val="20"/>
                <w:szCs w:val="20"/>
              </w:rPr>
              <w:t xml:space="preserve">Alston Moor is a market area where there is no private or voluntary residential care provider. If WFC closes Grisedale Croft — the only provider — while relying on the theoretical availability of homes 17–30 miles away over roads that close in winter, it faces a direct question under s.5(3) as to whether ‘sufficient services’ remain available for meeting local needs. The s.5 duty requires proactive market shaping, not passive acknowledgement of market failure.</w:t>
            </w:r>
          </w:p>
        </w:tc>
      </w:tr>
    </w:tbl>
    <w:p>
      <w:pPr>
        <w:spacing w:after="0" w:before="120"/>
      </w:pPr>
    </w:p>
    <w:p>
      <w:pPr>
        <w:pStyle w:val="Heading2"/>
        <w:spacing w:after="80" w:before="300"/>
      </w:pPr>
      <w:r>
        <w:rPr>
          <w:rFonts w:ascii="Arial" w:cs="Arial" w:eastAsia="Arial" w:hAnsi="Arial"/>
          <w:b/>
          <w:bCs/>
          <w:color w:val="1A1A2E"/>
          <w:sz w:val="26"/>
          <w:szCs w:val="26"/>
        </w:rPr>
        <w:t xml:space="preserve">2.3  Integration Duty (Section 3)</w:t>
      </w:r>
    </w:p>
    <w:p>
      <w:pPr>
        <w:spacing w:after="60" w:before="60"/>
        <w:jc w:val="both"/>
      </w:pPr>
      <w:r>
        <w:rPr>
          <w:rFonts w:ascii="Arial" w:cs="Arial" w:eastAsia="Arial" w:hAnsi="Arial"/>
          <w:color w:val="1A1A2E"/>
          <w:sz w:val="20"/>
          <w:szCs w:val="20"/>
        </w:rPr>
        <w:t xml:space="preserve">Section 3 of the Care Act 2014 requires local authorities to exercise their care and support functions ‘with a view to ensuring the integration of care and support provision with health provision and health-related provision’ where this would promote wellbeing or prevent, reduce or delay needs.</w:t>
      </w:r>
    </w:p>
    <w:p>
      <w:pPr>
        <w:spacing w:after="60" w:before="60"/>
        <w:jc w:val="both"/>
      </w:pPr>
      <w:r>
        <w:rPr>
          <w:rFonts w:ascii="Arial" w:cs="Arial" w:eastAsia="Arial" w:hAnsi="Arial"/>
          <w:color w:val="1A1A2E"/>
          <w:sz w:val="20"/>
          <w:szCs w:val="20"/>
        </w:rPr>
        <w:t xml:space="preserve">WFC’s consultation is being conducted without engagement with the NHS as a co-commissioner of the step-down beds at Grisedale Croft. The 2017–18 Alston Alliance Plan was a joint NHS–local authority settlement. A decision about the last surviving residential element of that settlement made unilaterally, without NHS partners, arguably falls short of the s.3 integration duty.</w:t>
      </w:r>
    </w:p>
    <w:p>
      <w:pPr>
        <w:spacing w:after="60" w:before="60"/>
        <w:jc w:val="both"/>
      </w:pPr>
      <w:r>
        <w:rPr>
          <w:rFonts w:ascii="Arial" w:cs="Arial" w:eastAsia="Arial" w:hAnsi="Arial"/>
          <w:color w:val="1A1A2E"/>
          <w:sz w:val="20"/>
          <w:szCs w:val="20"/>
        </w:rPr>
        <w:t xml:space="preserve">Source: https://www.legislation.gov.uk/ukpga/2014/23/section/3</w:t>
      </w:r>
    </w:p>
    <w:p>
      <w:pPr>
        <w:spacing w:after="0" w:before="120"/>
      </w:pPr>
    </w:p>
    <w:p>
      <w:pPr>
        <w:pStyle w:val="Heading2"/>
        <w:spacing w:after="80" w:before="300"/>
      </w:pPr>
      <w:r>
        <w:rPr>
          <w:rFonts w:ascii="Arial" w:cs="Arial" w:eastAsia="Arial" w:hAnsi="Arial"/>
          <w:b/>
          <w:bCs/>
          <w:color w:val="1A1A2E"/>
          <w:sz w:val="26"/>
          <w:szCs w:val="26"/>
        </w:rPr>
        <w:t xml:space="preserve">2.4  Needs Assessment (Section 9)</w:t>
      </w:r>
    </w:p>
    <w:p>
      <w:pPr>
        <w:spacing w:after="60" w:before="60"/>
        <w:jc w:val="both"/>
      </w:pPr>
      <w:r>
        <w:rPr>
          <w:rFonts w:ascii="Arial" w:cs="Arial" w:eastAsia="Arial" w:hAnsi="Arial"/>
          <w:color w:val="1A1A2E"/>
          <w:sz w:val="20"/>
          <w:szCs w:val="20"/>
        </w:rPr>
        <w:t xml:space="preserve">Section 9 requires the local authority to carry out a needs assessment of any adult who ‘appears to have needs for care and support’. The assessment must focus on the individual’s needs and how they impact on wellbeing, and the outcomes they wish to achieve. The duty to assess arises regardless of whether needs are likely to be eligible.</w:t>
      </w:r>
    </w:p>
    <w:p>
      <w:pPr>
        <w:spacing w:after="60" w:before="60"/>
        <w:jc w:val="both"/>
      </w:pPr>
      <w:r>
        <w:rPr>
          <w:rFonts w:ascii="Arial" w:cs="Arial" w:eastAsia="Arial" w:hAnsi="Arial"/>
          <w:color w:val="1A1A2E"/>
          <w:sz w:val="20"/>
          <w:szCs w:val="20"/>
        </w:rPr>
        <w:t xml:space="preserve">Section 9’s relevance here is prospective: any decision to close Grisedale Croft will trigger the s.9 duty for every current resident. Each resident’s individual needs, circumstances and preferences must be assessed before a transfer is effected. A transfer without adequate needs assessment would be unlawful.</w:t>
      </w:r>
    </w:p>
    <w:p>
      <w:pPr>
        <w:spacing w:after="0" w:before="120"/>
      </w:pPr>
    </w:p>
    <w:p>
      <w:pPr>
        <w:pStyle w:val="Heading2"/>
        <w:spacing w:after="80" w:before="300"/>
      </w:pPr>
      <w:r>
        <w:rPr>
          <w:rFonts w:ascii="Arial" w:cs="Arial" w:eastAsia="Arial" w:hAnsi="Arial"/>
          <w:b/>
          <w:bCs/>
          <w:color w:val="1A1A2E"/>
          <w:sz w:val="26"/>
          <w:szCs w:val="26"/>
        </w:rPr>
        <w:t xml:space="preserve">2.5  Provider Failure and Continuity of Care (Sections 46–50)</w:t>
      </w:r>
    </w:p>
    <w:p>
      <w:pPr>
        <w:spacing w:after="60" w:before="60"/>
        <w:jc w:val="both"/>
      </w:pPr>
      <w:r>
        <w:rPr>
          <w:rFonts w:ascii="Arial" w:cs="Arial" w:eastAsia="Arial" w:hAnsi="Arial"/>
          <w:color w:val="1A1A2E"/>
          <w:sz w:val="20"/>
          <w:szCs w:val="20"/>
        </w:rPr>
        <w:t xml:space="preserve">Sections 46 to 50 of the Care Act 2014 deal with business failure of adult social care providers. Section 48 requires local authorities to ‘meet the needs of service users’ where a registered care provider is unable to continue providing a regulated activity. Critically, this duty arises ‘irrespective of whether those needs would meet the eligibility criteria’.</w:t>
      </w:r>
    </w:p>
    <w:p>
      <w:pPr>
        <w:spacing w:after="60" w:before="60"/>
        <w:jc w:val="both"/>
      </w:pPr>
      <w:r>
        <w:rPr>
          <w:rFonts w:ascii="Arial" w:cs="Arial" w:eastAsia="Arial" w:hAnsi="Arial"/>
          <w:color w:val="1A1A2E"/>
          <w:sz w:val="20"/>
          <w:szCs w:val="20"/>
        </w:rPr>
        <w:t xml:space="preserve">Although these provisions are primarily designed for the insolvency of private providers, the principle — that the local authority must ensure continuity of care — applies equally where WFC itself, as the provider, is the body proposing to close the service. The question is not whether the beds can be discontinued but how and to what standard the needs of displaced residents will be met.</w:t>
      </w:r>
    </w:p>
    <w:p>
      <w:pPr>
        <w:spacing w:after="0" w:before="120"/>
      </w:pPr>
    </w:p>
    <w:p>
      <w:pPr>
        <w:pStyle w:val="Heading1"/>
        <w:pBdr>
          <w:bottom w:val="single" w:color="5B2D8E" w:sz="6" w:space="4"/>
        </w:pBdr>
        <w:spacing w:after="120" w:before="360"/>
      </w:pPr>
      <w:r>
        <w:rPr>
          <w:rFonts w:ascii="Arial" w:cs="Arial" w:eastAsia="Arial" w:hAnsi="Arial"/>
          <w:b/>
          <w:bCs/>
          <w:color w:val="5B2D8E"/>
          <w:sz w:val="32"/>
          <w:szCs w:val="32"/>
        </w:rPr>
        <w:t xml:space="preserve">Part 3 — WFC’s Ongoing Obligations as Registered Provider of Grisedale Croft</w:t>
      </w:r>
    </w:p>
    <w:p>
      <w:pPr>
        <w:pStyle w:val="Heading2"/>
        <w:spacing w:after="80" w:before="300"/>
      </w:pPr>
      <w:r>
        <w:rPr>
          <w:rFonts w:ascii="Arial" w:cs="Arial" w:eastAsia="Arial" w:hAnsi="Arial"/>
          <w:b/>
          <w:bCs/>
          <w:color w:val="1A1A2E"/>
          <w:sz w:val="26"/>
          <w:szCs w:val="26"/>
        </w:rPr>
        <w:t xml:space="preserve">3.1  The Provider’s Responsibility Cannot Be Delegated Downward</w:t>
      </w:r>
    </w:p>
    <w:p>
      <w:pPr>
        <w:spacing w:after="60" w:before="60"/>
        <w:jc w:val="both"/>
      </w:pPr>
      <w:r>
        <w:rPr>
          <w:rFonts w:ascii="Arial" w:cs="Arial" w:eastAsia="Arial" w:hAnsi="Arial"/>
          <w:color w:val="1A1A2E"/>
          <w:sz w:val="20"/>
          <w:szCs w:val="20"/>
        </w:rPr>
        <w:t xml:space="preserve">Under the 2008 Act and SI 2014/2936, the registered provider (WFC) is ultimately responsible for meeting the Fundamental Standards. The registered manager (currently Anne Priestley) is responsible for day-to-day compliance, but the provider cannot discharge its own obligations by pointing to the manager. Where a provider is a local authority, the obligation rests with the Council as a corporate body.</w:t>
      </w:r>
    </w:p>
    <w:p>
      <w:pPr>
        <w:spacing w:after="60" w:before="60"/>
        <w:jc w:val="both"/>
      </w:pPr>
      <w:r>
        <w:rPr>
          <w:rFonts w:ascii="Arial" w:cs="Arial" w:eastAsia="Arial" w:hAnsi="Arial"/>
          <w:color w:val="1A1A2E"/>
          <w:sz w:val="20"/>
          <w:szCs w:val="20"/>
        </w:rPr>
        <w:t xml:space="preserve">This has a specific consequence for the consultation: WFC cannot simultaneously be the registered provider responsible for Reg. 15 (suitability of premises) and the authority relying on the deterioration of those same premises as the rationale for closure without explaining why, as provider, it did not invest in the building. The building’s condition is a consequence of provider decisions, not an external fact.</w:t>
      </w:r>
    </w:p>
    <w:p>
      <w:pPr>
        <w:spacing w:after="0"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5B2D8E" w:sz="1"/>
              <w:left w:val="single" w:color="5B2D8E" w:sz="12"/>
              <w:bottom w:val="single" w:color="5B2D8E" w:sz="1"/>
              <w:right w:val="single" w:color="CCCCCC" w:sz="1"/>
            </w:tcBorders>
            <w:shd w:fill="F2EEF8" w:val="clear"/>
            <w:tcMar>
              <w:top w:type="dxa" w:w="120"/>
              <w:left w:type="dxa" w:w="200"/>
              <w:bottom w:type="dxa" w:w="120"/>
              <w:right w:type="dxa" w:w="120"/>
            </w:tcMar>
          </w:tcPr>
          <w:p>
            <w:pPr>
              <w:spacing w:after="0" w:before="0"/>
            </w:pPr>
            <w:r>
              <w:rPr>
                <w:rFonts w:ascii="Arial" w:cs="Arial" w:eastAsia="Arial" w:hAnsi="Arial"/>
                <w:b/>
                <w:bCs/>
                <w:color w:val="5B2D8E"/>
                <w:sz w:val="20"/>
                <w:szCs w:val="20"/>
              </w:rPr>
              <w:t xml:space="preserve">Campaign relevance: </w:t>
            </w:r>
            <w:r>
              <w:rPr>
                <w:rFonts w:ascii="Arial" w:cs="Arial" w:eastAsia="Arial" w:hAnsi="Arial"/>
                <w:color w:val="1A1A2E"/>
                <w:sz w:val="20"/>
                <w:szCs w:val="20"/>
              </w:rPr>
              <w:t xml:space="preserve">The 2008 Cumbria County Council commitment to replace Grisedale Croft was never honoured. The building’s current condition — cited by WFC as a reason for change — is the direct consequence of a decision not to invest that was made by CCC (WFC’s predecessor) and implicitly ratified by WFC since April 2023. WFC is not a neutral party assessing an ageing building; it is the provider whose deferred maintenance has contributed to the condition it is now using to justify closure.</w:t>
            </w:r>
          </w:p>
        </w:tc>
      </w:tr>
    </w:tbl>
    <w:p>
      <w:pPr>
        <w:spacing w:after="0" w:before="120"/>
      </w:pPr>
    </w:p>
    <w:p>
      <w:pPr>
        <w:pStyle w:val="Heading2"/>
        <w:spacing w:after="80" w:before="300"/>
      </w:pPr>
      <w:r>
        <w:rPr>
          <w:rFonts w:ascii="Arial" w:cs="Arial" w:eastAsia="Arial" w:hAnsi="Arial"/>
          <w:b/>
          <w:bCs/>
          <w:color w:val="1A1A2E"/>
          <w:sz w:val="26"/>
          <w:szCs w:val="26"/>
        </w:rPr>
        <w:t xml:space="preserve">3.2  Staffing Obligations</w:t>
      </w:r>
    </w:p>
    <w:p>
      <w:pPr>
        <w:spacing w:after="60" w:before="60"/>
        <w:jc w:val="both"/>
      </w:pPr>
      <w:r>
        <w:rPr>
          <w:rFonts w:ascii="Arial" w:cs="Arial" w:eastAsia="Arial" w:hAnsi="Arial"/>
          <w:color w:val="1A1A2E"/>
          <w:sz w:val="20"/>
          <w:szCs w:val="20"/>
        </w:rPr>
        <w:t xml:space="preserve">Regulation 18 (Staffing) requires sufficient numbers of suitably qualified staff at all times. Low occupancy does not reduce this obligation proportionately: even with three residents, the home must be staffed to meet those residents’ individual needs safely, including at night and at weekends. The staffing costs per resident therefore rise steeply as occupancy falls — a structural consequence of under-referral, not evidence of the home’s failure.</w:t>
      </w:r>
    </w:p>
    <w:p>
      <w:pPr>
        <w:spacing w:after="60" w:before="60"/>
        <w:jc w:val="both"/>
      </w:pPr>
      <w:r>
        <w:rPr>
          <w:rFonts w:ascii="Arial" w:cs="Arial" w:eastAsia="Arial" w:hAnsi="Arial"/>
          <w:color w:val="1A1A2E"/>
          <w:sz w:val="20"/>
          <w:szCs w:val="20"/>
        </w:rPr>
        <w:t xml:space="preserve">Equally, the April 2017 temporary closure of the RLJ hospital beds was attributed to a 59% staff vacancy rate. Staff recruitment and retention is inherently harder in remote communities. WFC’s consultation should address how any replacement building would maintain an adequate workforce given that this is the same structural challenge that preceded the hospital bed closures.</w:t>
      </w:r>
    </w:p>
    <w:p>
      <w:pPr>
        <w:spacing w:after="0" w:before="120"/>
      </w:pPr>
    </w:p>
    <w:p>
      <w:pPr>
        <w:pStyle w:val="Heading2"/>
        <w:spacing w:after="80" w:before="300"/>
      </w:pPr>
      <w:r>
        <w:rPr>
          <w:rFonts w:ascii="Arial" w:cs="Arial" w:eastAsia="Arial" w:hAnsi="Arial"/>
          <w:b/>
          <w:bCs/>
          <w:color w:val="1A1A2E"/>
          <w:sz w:val="26"/>
          <w:szCs w:val="26"/>
        </w:rPr>
        <w:t xml:space="preserve">3.3  The Home’s Role Under the NHS Step-Down Arrangement</w:t>
      </w:r>
    </w:p>
    <w:p>
      <w:pPr>
        <w:spacing w:after="60" w:before="60"/>
        <w:jc w:val="both"/>
      </w:pPr>
      <w:r>
        <w:rPr>
          <w:rFonts w:ascii="Arial" w:cs="Arial" w:eastAsia="Arial" w:hAnsi="Arial"/>
          <w:color w:val="1A1A2E"/>
          <w:sz w:val="20"/>
          <w:szCs w:val="20"/>
        </w:rPr>
        <w:t xml:space="preserve">From 2018 onwards, two of Grisedale Croft’s thirteen beds have been designated for use as NHS re-ablement / intermediate-care ‘step-down’ beds. This arrangement is evidenced in the Alston Alliance Plan, corroborated by the CQC’s 2018 inspection report (in which the registered manager records that the home will provide ‘health beds’ as part of the Alston Plan), and further supported by financial records showing NHS per-night payments for occupied health beds.</w:t>
      </w:r>
    </w:p>
    <w:p>
      <w:pPr>
        <w:spacing w:after="60" w:before="60"/>
        <w:jc w:val="both"/>
      </w:pPr>
      <w:r>
        <w:rPr>
          <w:rFonts w:ascii="Arial" w:cs="Arial" w:eastAsia="Arial" w:hAnsi="Arial"/>
          <w:color w:val="1A1A2E"/>
          <w:sz w:val="20"/>
          <w:szCs w:val="20"/>
        </w:rPr>
        <w:t xml:space="preserve">The commissioning authority for these beds is the NHS North East and North Cumbria Integrated Care Board (NENC ICB), as successor to the North Cumbria Clinical Commissioning Group. Any decision about the future of Grisedale Croft that does not explicitly address the future of this commissioning arrangement is incomplete. Closing the home without novating or replacing the NHS commissioning arrangement would also leave open a question about the NHS’s obligations under the 2017–18 commitments.</w:t>
      </w:r>
    </w:p>
    <w:p>
      <w:pPr>
        <w:spacing w:after="0" w:before="120"/>
      </w:pPr>
    </w:p>
    <w:p>
      <w:pPr>
        <w:pStyle w:val="Heading1"/>
        <w:pBdr>
          <w:bottom w:val="single" w:color="5B2D8E" w:sz="6" w:space="4"/>
        </w:pBdr>
        <w:spacing w:after="120" w:before="360"/>
      </w:pPr>
      <w:r>
        <w:rPr>
          <w:rFonts w:ascii="Arial" w:cs="Arial" w:eastAsia="Arial" w:hAnsi="Arial"/>
          <w:b/>
          <w:bCs/>
          <w:color w:val="5B2D8E"/>
          <w:sz w:val="32"/>
          <w:szCs w:val="32"/>
        </w:rPr>
        <w:t xml:space="preserve">Part 4 — Regulatory Requirements for a New-Build or Replacement Care Home</w:t>
      </w:r>
    </w:p>
    <w:p>
      <w:pPr>
        <w:spacing w:after="60" w:before="60"/>
        <w:jc w:val="both"/>
      </w:pPr>
      <w:r>
        <w:rPr>
          <w:rFonts w:ascii="Arial" w:cs="Arial" w:eastAsia="Arial" w:hAnsi="Arial"/>
          <w:color w:val="1A1A2E"/>
          <w:sz w:val="20"/>
          <w:szCs w:val="20"/>
        </w:rPr>
        <w:t xml:space="preserve">WFC’s stated ‘preferred option’ for Grisedale Croft is to find an alternative building in the local area. No alternative building has been identified. No funding has been confirmed. No timeline has been published. The regulatory analysis below demonstrates the complexity and cost of the pathway WFC is offering as a preferred option.</w:t>
      </w:r>
    </w:p>
    <w:p>
      <w:pPr>
        <w:pStyle w:val="Heading2"/>
        <w:spacing w:after="80" w:before="300"/>
      </w:pPr>
      <w:r>
        <w:rPr>
          <w:rFonts w:ascii="Arial" w:cs="Arial" w:eastAsia="Arial" w:hAnsi="Arial"/>
          <w:b/>
          <w:bCs/>
          <w:color w:val="1A1A2E"/>
          <w:sz w:val="26"/>
          <w:szCs w:val="26"/>
        </w:rPr>
        <w:t xml:space="preserve">4.1  Planning Permission: Use Class C2</w:t>
      </w:r>
    </w:p>
    <w:p>
      <w:pPr>
        <w:spacing w:after="60" w:before="60"/>
        <w:jc w:val="both"/>
      </w:pPr>
      <w:r>
        <w:rPr>
          <w:rFonts w:ascii="Arial" w:cs="Arial" w:eastAsia="Arial" w:hAnsi="Arial"/>
          <w:color w:val="1A1A2E"/>
          <w:sz w:val="20"/>
          <w:szCs w:val="20"/>
        </w:rPr>
        <w:t xml:space="preserve">A residential care home in England is a Use Class C2 building under the Town and Country Planning (Use Classes) Order 1987 (as amended). There are no permitted development rights that allow residential (C3) or commercial buildings to be converted to a care home (C2) without full planning permission. Every change of use to C2, and every new-build C2 development, requires a full planning application to the Local Planning Authority — in this case, WFC itself.</w:t>
      </w:r>
    </w:p>
    <w:p>
      <w:pPr>
        <w:spacing w:after="60" w:before="60"/>
        <w:jc w:val="both"/>
      </w:pPr>
      <w:r>
        <w:rPr>
          <w:rFonts w:ascii="Arial" w:cs="Arial" w:eastAsia="Arial" w:hAnsi="Arial"/>
          <w:color w:val="1A1A2E"/>
          <w:sz w:val="20"/>
          <w:szCs w:val="20"/>
        </w:rPr>
        <w:t xml:space="preserve">The National Planning Policy Framework 2024 (NPPF 2024), at paragraphs 63 and 71, explicitly supports care provision. However, policy support does not guarantee planning consent. A C2 application for Alston Moor would need to demonstrate:</w:t>
      </w:r>
    </w:p>
    <w:p>
      <w:pPr>
        <w:pStyle w:val="ListParagraph"/>
        <w:numPr>
          <w:ilvl w:val="0"/>
          <w:numId w:val="2"/>
        </w:numPr>
        <w:spacing w:after="40" w:before="40"/>
      </w:pPr>
      <w:r>
        <w:rPr>
          <w:rFonts w:ascii="Arial" w:cs="Arial" w:eastAsia="Arial" w:hAnsi="Arial"/>
          <w:color w:val="1A1A2E"/>
          <w:sz w:val="20"/>
          <w:szCs w:val="20"/>
        </w:rPr>
        <w:t xml:space="preserve">a clear needs case for the service (evidence of local demand);</w:t>
      </w:r>
    </w:p>
    <w:p>
      <w:pPr>
        <w:pStyle w:val="ListParagraph"/>
        <w:numPr>
          <w:ilvl w:val="0"/>
          <w:numId w:val="2"/>
        </w:numPr>
        <w:spacing w:after="40" w:before="40"/>
      </w:pPr>
      <w:r>
        <w:rPr>
          <w:rFonts w:ascii="Arial" w:cs="Arial" w:eastAsia="Arial" w:hAnsi="Arial"/>
          <w:color w:val="1A1A2E"/>
          <w:sz w:val="20"/>
          <w:szCs w:val="20"/>
        </w:rPr>
        <w:t xml:space="preserve">site suitability (access, accessibility, infrastructure);</w:t>
      </w:r>
    </w:p>
    <w:p>
      <w:pPr>
        <w:pStyle w:val="ListParagraph"/>
        <w:numPr>
          <w:ilvl w:val="0"/>
          <w:numId w:val="2"/>
        </w:numPr>
        <w:spacing w:after="40" w:before="40"/>
      </w:pPr>
      <w:r>
        <w:rPr>
          <w:rFonts w:ascii="Arial" w:cs="Arial" w:eastAsia="Arial" w:hAnsi="Arial"/>
          <w:color w:val="1A1A2E"/>
          <w:sz w:val="20"/>
          <w:szCs w:val="20"/>
        </w:rPr>
        <w:t xml:space="preserve">compliance with local planning policies;</w:t>
      </w:r>
    </w:p>
    <w:p>
      <w:pPr>
        <w:pStyle w:val="ListParagraph"/>
        <w:numPr>
          <w:ilvl w:val="0"/>
          <w:numId w:val="2"/>
        </w:numPr>
        <w:spacing w:after="40" w:before="40"/>
      </w:pPr>
      <w:r>
        <w:rPr>
          <w:rFonts w:ascii="Arial" w:cs="Arial" w:eastAsia="Arial" w:hAnsi="Arial"/>
          <w:color w:val="1A1A2E"/>
          <w:sz w:val="20"/>
          <w:szCs w:val="20"/>
        </w:rPr>
        <w:t xml:space="preserve">compliance with all Building Regulations (see 4.2 below);</w:t>
      </w:r>
    </w:p>
    <w:p>
      <w:pPr>
        <w:pStyle w:val="ListParagraph"/>
        <w:numPr>
          <w:ilvl w:val="0"/>
          <w:numId w:val="2"/>
        </w:numPr>
        <w:spacing w:after="40" w:before="40"/>
      </w:pPr>
      <w:r>
        <w:rPr>
          <w:rFonts w:ascii="Arial" w:cs="Arial" w:eastAsia="Arial" w:hAnsi="Arial"/>
          <w:color w:val="1A1A2E"/>
          <w:sz w:val="20"/>
          <w:szCs w:val="20"/>
        </w:rPr>
        <w:t xml:space="preserve">a Transport Management Plan where required;</w:t>
      </w:r>
    </w:p>
    <w:p>
      <w:pPr>
        <w:pStyle w:val="ListParagraph"/>
        <w:numPr>
          <w:ilvl w:val="0"/>
          <w:numId w:val="2"/>
        </w:numPr>
        <w:spacing w:after="40" w:before="40"/>
      </w:pPr>
      <w:r>
        <w:rPr>
          <w:rFonts w:ascii="Arial" w:cs="Arial" w:eastAsia="Arial" w:hAnsi="Arial"/>
          <w:color w:val="1A1A2E"/>
          <w:sz w:val="20"/>
          <w:szCs w:val="20"/>
        </w:rPr>
        <w:t xml:space="preserve">satisfactory flood risk assessment where relevant; and</w:t>
      </w:r>
    </w:p>
    <w:p>
      <w:pPr>
        <w:pStyle w:val="ListParagraph"/>
        <w:numPr>
          <w:ilvl w:val="0"/>
          <w:numId w:val="2"/>
        </w:numPr>
        <w:spacing w:after="40" w:before="40"/>
      </w:pPr>
      <w:r>
        <w:rPr>
          <w:rFonts w:ascii="Arial" w:cs="Arial" w:eastAsia="Arial" w:hAnsi="Arial"/>
          <w:color w:val="1A1A2E"/>
          <w:sz w:val="20"/>
          <w:szCs w:val="20"/>
        </w:rPr>
        <w:t xml:space="preserve">environmental impact assessment for significant developments.</w:t>
      </w:r>
    </w:p>
    <w:p>
      <w:pPr>
        <w:spacing w:after="0" w:before="80"/>
      </w:pPr>
    </w:p>
    <w:p>
      <w:pPr>
        <w:spacing w:after="60" w:before="60"/>
        <w:jc w:val="both"/>
      </w:pPr>
      <w:r>
        <w:rPr>
          <w:rFonts w:ascii="Arial" w:cs="Arial" w:eastAsia="Arial" w:hAnsi="Arial"/>
          <w:color w:val="1A1A2E"/>
          <w:sz w:val="20"/>
          <w:szCs w:val="20"/>
        </w:rPr>
        <w:t xml:space="preserve">Planning application fees for a care home typically range from £5,000 to £15,000, but with supporting documentation, consultation exercises, and potential appeal costs, the true planning process cost can reach £50,000–£100,000. In a rural area such as Alston Moor with limited local planning precedent for such a development, the risk of an extended or contested planning process is significant.</w:t>
      </w:r>
    </w:p>
    <w:p>
      <w:pPr>
        <w:spacing w:after="60" w:before="60"/>
        <w:jc w:val="both"/>
      </w:pPr>
      <w:r>
        <w:rPr>
          <w:rFonts w:ascii="Arial" w:cs="Arial" w:eastAsia="Arial" w:hAnsi="Arial"/>
          <w:color w:val="1A1A2E"/>
          <w:sz w:val="20"/>
          <w:szCs w:val="20"/>
        </w:rPr>
        <w:t xml:space="preserve">Source: Town and Country Planning (Use Classes) Order 1987 (as amended); NPPF 2024, paras 63 and 71. Further: https://urbanistarchitecture.co.uk/use-class-c2-care-nursing-childrens-homes/</w:t>
      </w:r>
    </w:p>
    <w:p>
      <w:pPr>
        <w:spacing w:after="0" w:before="120"/>
      </w:pPr>
    </w:p>
    <w:p>
      <w:pPr>
        <w:pStyle w:val="Heading2"/>
        <w:spacing w:after="80" w:before="300"/>
      </w:pPr>
      <w:r>
        <w:rPr>
          <w:rFonts w:ascii="Arial" w:cs="Arial" w:eastAsia="Arial" w:hAnsi="Arial"/>
          <w:b/>
          <w:bCs/>
          <w:color w:val="1A1A2E"/>
          <w:sz w:val="26"/>
          <w:szCs w:val="26"/>
        </w:rPr>
        <w:t xml:space="preserve">4.2  Building Regulations</w:t>
      </w:r>
    </w:p>
    <w:p>
      <w:pPr>
        <w:spacing w:after="60" w:before="60"/>
        <w:jc w:val="both"/>
      </w:pPr>
      <w:r>
        <w:rPr>
          <w:rFonts w:ascii="Arial" w:cs="Arial" w:eastAsia="Arial" w:hAnsi="Arial"/>
          <w:color w:val="1A1A2E"/>
          <w:sz w:val="20"/>
          <w:szCs w:val="20"/>
        </w:rPr>
        <w:t xml:space="preserve">Any new-build or materially converted care home must comply with the Building Regulations 2010 (as amended to 2026), enforced by the Local Authority Building Control or an Approved Inspector. The most significant requirements for a care home are:</w:t>
      </w:r>
    </w:p>
    <w:p>
      <w:pPr>
        <w:spacing w:after="0" w:before="40"/>
      </w:pPr>
    </w:p>
    <w:p>
      <w:pPr>
        <w:pStyle w:val="Heading3"/>
        <w:spacing w:after="60" w:before="200"/>
      </w:pPr>
      <w:r>
        <w:rPr>
          <w:rFonts w:ascii="Arial" w:cs="Arial" w:eastAsia="Arial" w:hAnsi="Arial"/>
          <w:b/>
          <w:bCs/>
          <w:color w:val="444444"/>
          <w:sz w:val="22"/>
          <w:szCs w:val="22"/>
        </w:rPr>
        <w:t xml:space="preserve">Part B — Fire Safety (as amended March 2025)</w:t>
      </w:r>
    </w:p>
    <w:p>
      <w:pPr>
        <w:spacing w:after="60" w:before="60"/>
        <w:jc w:val="both"/>
      </w:pPr>
      <w:r>
        <w:rPr>
          <w:rFonts w:ascii="Arial" w:cs="Arial" w:eastAsia="Arial" w:hAnsi="Arial"/>
          <w:color w:val="1A1A2E"/>
          <w:sz w:val="20"/>
          <w:szCs w:val="20"/>
        </w:rPr>
        <w:t xml:space="preserve">With effect from March 2025, sprinkler systems are required in all new care homes, regardless of building height. This is a significant change from the previous 11-metre threshold and was introduced specifically to protect vulnerable residents. Any new-build replacement for Grisedale Croft would require a comprehensive sprinkler installation as a mandatory design feature, adding substantially to build cost and lead time.</w:t>
      </w:r>
    </w:p>
    <w:p>
      <w:pPr>
        <w:spacing w:after="60" w:before="60"/>
        <w:jc w:val="both"/>
      </w:pPr>
      <w:r>
        <w:rPr>
          <w:rFonts w:ascii="Arial" w:cs="Arial" w:eastAsia="Arial" w:hAnsi="Arial"/>
          <w:color w:val="1A1A2E"/>
          <w:sz w:val="20"/>
          <w:szCs w:val="20"/>
        </w:rPr>
        <w:t xml:space="preserve">Source: The Building (Amendment) (England) Regulations 2025; analysis at https://www.partel.co.uk/blog/building-regulations-part-b-f-o-updates-2025-changes/</w:t>
      </w:r>
    </w:p>
    <w:p>
      <w:pPr>
        <w:spacing w:after="0" w:before="80"/>
      </w:pPr>
    </w:p>
    <w:p>
      <w:pPr>
        <w:pStyle w:val="Heading3"/>
        <w:spacing w:after="60" w:before="200"/>
      </w:pPr>
      <w:r>
        <w:rPr>
          <w:rFonts w:ascii="Arial" w:cs="Arial" w:eastAsia="Arial" w:hAnsi="Arial"/>
          <w:b/>
          <w:bCs/>
          <w:color w:val="444444"/>
          <w:sz w:val="22"/>
          <w:szCs w:val="22"/>
        </w:rPr>
        <w:t xml:space="preserve">Part M — Access to and Use of Buildings</w:t>
      </w:r>
    </w:p>
    <w:p>
      <w:pPr>
        <w:spacing w:after="60" w:before="60"/>
        <w:jc w:val="both"/>
      </w:pPr>
      <w:r>
        <w:rPr>
          <w:rFonts w:ascii="Arial" w:cs="Arial" w:eastAsia="Arial" w:hAnsi="Arial"/>
          <w:color w:val="1A1A2E"/>
          <w:sz w:val="20"/>
          <w:szCs w:val="20"/>
        </w:rPr>
        <w:t xml:space="preserve">Approved Document M requires new-build care homes to meet enhanced accessibility standards. As of 2024, consultation is under way to mandate the M4(2) Accessible and Adaptable standard for all new residential buildings. For a care home, the specific requirements include:</w:t>
      </w:r>
    </w:p>
    <w:p>
      <w:pPr>
        <w:pStyle w:val="ListParagraph"/>
        <w:numPr>
          <w:ilvl w:val="0"/>
          <w:numId w:val="2"/>
        </w:numPr>
        <w:spacing w:after="40" w:before="40"/>
      </w:pPr>
      <w:r>
        <w:rPr>
          <w:rFonts w:ascii="Arial" w:cs="Arial" w:eastAsia="Arial" w:hAnsi="Arial"/>
          <w:color w:val="1A1A2E"/>
          <w:sz w:val="20"/>
          <w:szCs w:val="20"/>
        </w:rPr>
        <w:t xml:space="preserve">wheelchair-accessible routes throughout the building;</w:t>
      </w:r>
    </w:p>
    <w:p>
      <w:pPr>
        <w:pStyle w:val="ListParagraph"/>
        <w:numPr>
          <w:ilvl w:val="0"/>
          <w:numId w:val="2"/>
        </w:numPr>
        <w:spacing w:after="40" w:before="40"/>
      </w:pPr>
      <w:r>
        <w:rPr>
          <w:rFonts w:ascii="Arial" w:cs="Arial" w:eastAsia="Arial" w:hAnsi="Arial"/>
          <w:color w:val="1A1A2E"/>
          <w:sz w:val="20"/>
          <w:szCs w:val="20"/>
        </w:rPr>
        <w:t xml:space="preserve">minimum door widths of 850mm clear opening for main entrance and accessible rooms;</w:t>
      </w:r>
    </w:p>
    <w:p>
      <w:pPr>
        <w:pStyle w:val="ListParagraph"/>
        <w:numPr>
          <w:ilvl w:val="0"/>
          <w:numId w:val="2"/>
        </w:numPr>
        <w:spacing w:after="40" w:before="40"/>
      </w:pPr>
      <w:r>
        <w:rPr>
          <w:rFonts w:ascii="Arial" w:cs="Arial" w:eastAsia="Arial" w:hAnsi="Arial"/>
          <w:color w:val="1A1A2E"/>
          <w:sz w:val="20"/>
          <w:szCs w:val="20"/>
        </w:rPr>
        <w:t xml:space="preserve">level thresholds;</w:t>
      </w:r>
    </w:p>
    <w:p>
      <w:pPr>
        <w:pStyle w:val="ListParagraph"/>
        <w:numPr>
          <w:ilvl w:val="0"/>
          <w:numId w:val="2"/>
        </w:numPr>
        <w:spacing w:after="40" w:before="40"/>
      </w:pPr>
      <w:r>
        <w:rPr>
          <w:rFonts w:ascii="Arial" w:cs="Arial" w:eastAsia="Arial" w:hAnsi="Arial"/>
          <w:color w:val="1A1A2E"/>
          <w:sz w:val="20"/>
          <w:szCs w:val="20"/>
        </w:rPr>
        <w:t xml:space="preserve">ceiling track hoists in fully accessible bathrooms (at least one per floor);</w:t>
      </w:r>
    </w:p>
    <w:p>
      <w:pPr>
        <w:pStyle w:val="ListParagraph"/>
        <w:numPr>
          <w:ilvl w:val="0"/>
          <w:numId w:val="2"/>
        </w:numPr>
        <w:spacing w:after="40" w:before="40"/>
      </w:pPr>
      <w:r>
        <w:rPr>
          <w:rFonts w:ascii="Arial" w:cs="Arial" w:eastAsia="Arial" w:hAnsi="Arial"/>
          <w:color w:val="1A1A2E"/>
          <w:sz w:val="20"/>
          <w:szCs w:val="20"/>
        </w:rPr>
        <w:t xml:space="preserve">adequate turning circles for wheelchairs in key areas; and</w:t>
      </w:r>
    </w:p>
    <w:p>
      <w:pPr>
        <w:pStyle w:val="ListParagraph"/>
        <w:numPr>
          <w:ilvl w:val="0"/>
          <w:numId w:val="2"/>
        </w:numPr>
        <w:spacing w:after="40" w:before="40"/>
      </w:pPr>
      <w:r>
        <w:rPr>
          <w:rFonts w:ascii="Arial" w:cs="Arial" w:eastAsia="Arial" w:hAnsi="Arial"/>
          <w:color w:val="1A1A2E"/>
          <w:sz w:val="20"/>
          <w:szCs w:val="20"/>
        </w:rPr>
        <w:t xml:space="preserve">accessible WCs meeting Part T (introduced October 2024) requirements.</w:t>
      </w:r>
    </w:p>
    <w:p>
      <w:pPr>
        <w:spacing w:after="0" w:before="80"/>
      </w:pPr>
    </w:p>
    <w:p>
      <w:pPr>
        <w:spacing w:after="60" w:before="60"/>
        <w:jc w:val="both"/>
      </w:pPr>
      <w:r>
        <w:rPr>
          <w:rFonts w:ascii="Arial" w:cs="Arial" w:eastAsia="Arial" w:hAnsi="Arial"/>
          <w:color w:val="1A1A2E"/>
          <w:sz w:val="20"/>
          <w:szCs w:val="20"/>
        </w:rPr>
        <w:t xml:space="preserve">Source: Approved Document M (2015, incorporating 2016, 2021 and 2024 updates). Current version: https://www.gov.uk/government/publications/access-to-and-use-of-buildings-approved-document-m</w:t>
      </w:r>
    </w:p>
    <w:p>
      <w:pPr>
        <w:spacing w:after="0" w:before="80"/>
      </w:pPr>
    </w:p>
    <w:p>
      <w:pPr>
        <w:pStyle w:val="Heading3"/>
        <w:spacing w:after="60" w:before="200"/>
      </w:pPr>
      <w:r>
        <w:rPr>
          <w:rFonts w:ascii="Arial" w:cs="Arial" w:eastAsia="Arial" w:hAnsi="Arial"/>
          <w:b/>
          <w:bCs/>
          <w:color w:val="444444"/>
          <w:sz w:val="22"/>
          <w:szCs w:val="22"/>
        </w:rPr>
        <w:t xml:space="preserve">Room Size Standards</w:t>
      </w:r>
    </w:p>
    <w:p>
      <w:pPr>
        <w:spacing w:after="60" w:before="60"/>
        <w:jc w:val="both"/>
      </w:pPr>
      <w:r>
        <w:rPr>
          <w:rFonts w:ascii="Arial" w:cs="Arial" w:eastAsia="Arial" w:hAnsi="Arial"/>
          <w:color w:val="1A1A2E"/>
          <w:sz w:val="20"/>
          <w:szCs w:val="20"/>
        </w:rPr>
        <w:t xml:space="preserve">While Building Regulations do not prescribe minimum bedroom sizes in statutory form, current industry and CQC expectations for new-build care homes in England are:</w:t>
      </w:r>
    </w:p>
    <w:p>
      <w:pPr>
        <w:pStyle w:val="ListParagraph"/>
        <w:numPr>
          <w:ilvl w:val="0"/>
          <w:numId w:val="2"/>
        </w:numPr>
        <w:spacing w:after="40" w:before="40"/>
      </w:pPr>
      <w:r>
        <w:rPr>
          <w:rFonts w:ascii="Arial" w:cs="Arial" w:eastAsia="Arial" w:hAnsi="Arial"/>
          <w:color w:val="1A1A2E"/>
          <w:sz w:val="20"/>
          <w:szCs w:val="20"/>
        </w:rPr>
        <w:t xml:space="preserve">Single-occupancy bedrooms: typically 12–14 square metres excluding en-suite facilities;</w:t>
      </w:r>
    </w:p>
    <w:p>
      <w:pPr>
        <w:pStyle w:val="ListParagraph"/>
        <w:numPr>
          <w:ilvl w:val="0"/>
          <w:numId w:val="2"/>
        </w:numPr>
        <w:spacing w:after="40" w:before="40"/>
      </w:pPr>
      <w:r>
        <w:rPr>
          <w:rFonts w:ascii="Arial" w:cs="Arial" w:eastAsia="Arial" w:hAnsi="Arial"/>
          <w:color w:val="1A1A2E"/>
          <w:sz w:val="20"/>
          <w:szCs w:val="20"/>
        </w:rPr>
        <w:t xml:space="preserve">En-suite facilities: wheelchair-accessible toilet and wash basin, with space for staff assistance;</w:t>
      </w:r>
    </w:p>
    <w:p>
      <w:pPr>
        <w:pStyle w:val="ListParagraph"/>
        <w:numPr>
          <w:ilvl w:val="0"/>
          <w:numId w:val="2"/>
        </w:numPr>
        <w:spacing w:after="40" w:before="40"/>
      </w:pPr>
      <w:r>
        <w:rPr>
          <w:rFonts w:ascii="Arial" w:cs="Arial" w:eastAsia="Arial" w:hAnsi="Arial"/>
          <w:color w:val="1A1A2E"/>
          <w:sz w:val="20"/>
          <w:szCs w:val="20"/>
        </w:rPr>
        <w:t xml:space="preserve">Dining space: at least 2 square metres per resident, with additional space for wheelchair users;</w:t>
      </w:r>
    </w:p>
    <w:p>
      <w:pPr>
        <w:pStyle w:val="ListParagraph"/>
        <w:numPr>
          <w:ilvl w:val="0"/>
          <w:numId w:val="2"/>
        </w:numPr>
        <w:spacing w:after="40" w:before="40"/>
      </w:pPr>
      <w:r>
        <w:rPr>
          <w:rFonts w:ascii="Arial" w:cs="Arial" w:eastAsia="Arial" w:hAnsi="Arial"/>
          <w:color w:val="1A1A2E"/>
          <w:sz w:val="20"/>
          <w:szCs w:val="20"/>
        </w:rPr>
        <w:t xml:space="preserve">Activity / day rooms: at least 3.5 square metres per resident combined; and</w:t>
      </w:r>
    </w:p>
    <w:p>
      <w:pPr>
        <w:pStyle w:val="ListParagraph"/>
        <w:numPr>
          <w:ilvl w:val="0"/>
          <w:numId w:val="2"/>
        </w:numPr>
        <w:spacing w:after="40" w:before="40"/>
      </w:pPr>
      <w:r>
        <w:rPr>
          <w:rFonts w:ascii="Arial" w:cs="Arial" w:eastAsia="Arial" w:hAnsi="Arial"/>
          <w:color w:val="1A1A2E"/>
          <w:sz w:val="20"/>
          <w:szCs w:val="20"/>
        </w:rPr>
        <w:t xml:space="preserve">Accessible bathrooms: at least one per floor, with ceiling track hoist, minimum 9–10 square metres.</w:t>
      </w:r>
    </w:p>
    <w:p>
      <w:pPr>
        <w:spacing w:after="0" w:before="80"/>
      </w:pPr>
    </w:p>
    <w:p>
      <w:pPr>
        <w:spacing w:after="60" w:before="60"/>
        <w:jc w:val="both"/>
      </w:pPr>
      <w:r>
        <w:rPr>
          <w:rFonts w:ascii="Arial" w:cs="Arial" w:eastAsia="Arial" w:hAnsi="Arial"/>
          <w:color w:val="1A1A2E"/>
          <w:sz w:val="20"/>
          <w:szCs w:val="20"/>
        </w:rPr>
        <w:t xml:space="preserve">These standards mean that a 13-bed replacement home (or even a proposed 4–5 bed ‘smaller replacement’) would need significantly more floor space per resident than older care homes built to previous standards. Finding an existing building in Alston Moor that meets these standards without substantial works is unlikely.</w:t>
      </w:r>
    </w:p>
    <w:p>
      <w:pPr>
        <w:spacing w:after="60" w:before="60"/>
        <w:jc w:val="both"/>
      </w:pPr>
      <w:r>
        <w:rPr>
          <w:rFonts w:ascii="Arial" w:cs="Arial" w:eastAsia="Arial" w:hAnsi="Arial"/>
          <w:color w:val="1A1A2E"/>
          <w:sz w:val="20"/>
          <w:szCs w:val="20"/>
        </w:rPr>
        <w:t xml:space="preserve">Source: Care Home Design Regulations: A Comprehensive Guide for 2025, RDS Care Build: https://www.rdscarebuild.com/blog-posts/care-home-design-regulations-comprehensive-guide</w:t>
      </w:r>
    </w:p>
    <w:p>
      <w:pPr>
        <w:spacing w:after="0" w:before="80"/>
      </w:pPr>
    </w:p>
    <w:p>
      <w:pPr>
        <w:pStyle w:val="Heading3"/>
        <w:spacing w:after="60" w:before="200"/>
      </w:pPr>
      <w:r>
        <w:rPr>
          <w:rFonts w:ascii="Arial" w:cs="Arial" w:eastAsia="Arial" w:hAnsi="Arial"/>
          <w:b/>
          <w:bCs/>
          <w:color w:val="444444"/>
          <w:sz w:val="22"/>
          <w:szCs w:val="22"/>
        </w:rPr>
        <w:t xml:space="preserve">Part L — Energy Efficiency and Part F — Ventilation</w:t>
      </w:r>
    </w:p>
    <w:p>
      <w:pPr>
        <w:spacing w:after="60" w:before="60"/>
        <w:jc w:val="both"/>
      </w:pPr>
      <w:r>
        <w:rPr>
          <w:rFonts w:ascii="Arial" w:cs="Arial" w:eastAsia="Arial" w:hAnsi="Arial"/>
          <w:color w:val="1A1A2E"/>
          <w:sz w:val="20"/>
          <w:szCs w:val="20"/>
        </w:rPr>
        <w:t xml:space="preserve">New builds must meet the Future Homes Standard (currently under transition). This imposes significantly higher energy performance requirements than older buildings and requires low-carbon heating systems. For a care home in a remote rural location without gas mains infrastructure, the implications for design and running costs are significant.</w:t>
      </w:r>
    </w:p>
    <w:p>
      <w:pPr>
        <w:spacing w:after="0" w:before="120"/>
      </w:pPr>
    </w:p>
    <w:p>
      <w:pPr>
        <w:pStyle w:val="Heading2"/>
        <w:spacing w:after="80" w:before="300"/>
      </w:pPr>
      <w:r>
        <w:rPr>
          <w:rFonts w:ascii="Arial" w:cs="Arial" w:eastAsia="Arial" w:hAnsi="Arial"/>
          <w:b/>
          <w:bCs/>
          <w:color w:val="1A1A2E"/>
          <w:sz w:val="26"/>
          <w:szCs w:val="26"/>
        </w:rPr>
        <w:t xml:space="preserve">4.3  CQC Registration for a New Provider Location</w:t>
      </w:r>
    </w:p>
    <w:p>
      <w:pPr>
        <w:spacing w:after="60" w:before="60"/>
        <w:jc w:val="both"/>
      </w:pPr>
      <w:r>
        <w:rPr>
          <w:rFonts w:ascii="Arial" w:cs="Arial" w:eastAsia="Arial" w:hAnsi="Arial"/>
          <w:color w:val="1A1A2E"/>
          <w:sz w:val="20"/>
          <w:szCs w:val="20"/>
        </w:rPr>
        <w:t xml:space="preserve">A replacement care home would require a fresh CQC registration application for the new location, even if WFC remains the registered provider. From 9 February 2026, new CQC applications are submitted by email to HSCA_Applications@cqc.org.uk and must include:</w:t>
      </w:r>
    </w:p>
    <w:p>
      <w:pPr>
        <w:pStyle w:val="ListParagraph"/>
        <w:numPr>
          <w:ilvl w:val="0"/>
          <w:numId w:val="2"/>
        </w:numPr>
        <w:spacing w:after="40" w:before="40"/>
      </w:pPr>
      <w:r>
        <w:rPr>
          <w:rFonts w:ascii="Arial" w:cs="Arial" w:eastAsia="Arial" w:hAnsi="Arial"/>
          <w:color w:val="1A1A2E"/>
          <w:sz w:val="20"/>
          <w:szCs w:val="20"/>
        </w:rPr>
        <w:t xml:space="preserve">a detailed Statement of Purpose for the new location;</w:t>
      </w:r>
    </w:p>
    <w:p>
      <w:pPr>
        <w:pStyle w:val="ListParagraph"/>
        <w:numPr>
          <w:ilvl w:val="0"/>
          <w:numId w:val="2"/>
        </w:numPr>
        <w:spacing w:after="40" w:before="40"/>
      </w:pPr>
      <w:r>
        <w:rPr>
          <w:rFonts w:ascii="Arial" w:cs="Arial" w:eastAsia="Arial" w:hAnsi="Arial"/>
          <w:color w:val="1A1A2E"/>
          <w:sz w:val="20"/>
          <w:szCs w:val="20"/>
        </w:rPr>
        <w:t xml:space="preserve">a business plan demonstrating financial viability, including a minimum one-year financial forecast;</w:t>
      </w:r>
    </w:p>
    <w:p>
      <w:pPr>
        <w:pStyle w:val="ListParagraph"/>
        <w:numPr>
          <w:ilvl w:val="0"/>
          <w:numId w:val="2"/>
        </w:numPr>
        <w:spacing w:after="40" w:before="40"/>
      </w:pPr>
      <w:r>
        <w:rPr>
          <w:rFonts w:ascii="Arial" w:cs="Arial" w:eastAsia="Arial" w:hAnsi="Arial"/>
          <w:color w:val="1A1A2E"/>
          <w:sz w:val="20"/>
          <w:szCs w:val="20"/>
        </w:rPr>
        <w:t xml:space="preserve">evidence of premises suitability (building completion, planning permission, fit-out);</w:t>
      </w:r>
    </w:p>
    <w:p>
      <w:pPr>
        <w:pStyle w:val="ListParagraph"/>
        <w:numPr>
          <w:ilvl w:val="0"/>
          <w:numId w:val="2"/>
        </w:numPr>
        <w:spacing w:after="40" w:before="40"/>
      </w:pPr>
      <w:r>
        <w:rPr>
          <w:rFonts w:ascii="Arial" w:cs="Arial" w:eastAsia="Arial" w:hAnsi="Arial"/>
          <w:color w:val="1A1A2E"/>
          <w:sz w:val="20"/>
          <w:szCs w:val="20"/>
        </w:rPr>
        <w:t xml:space="preserve">enhanced DBS checks for all nominated individuals;</w:t>
      </w:r>
    </w:p>
    <w:p>
      <w:pPr>
        <w:pStyle w:val="ListParagraph"/>
        <w:numPr>
          <w:ilvl w:val="0"/>
          <w:numId w:val="2"/>
        </w:numPr>
        <w:spacing w:after="40" w:before="40"/>
      </w:pPr>
      <w:r>
        <w:rPr>
          <w:rFonts w:ascii="Arial" w:cs="Arial" w:eastAsia="Arial" w:hAnsi="Arial"/>
          <w:color w:val="1A1A2E"/>
          <w:sz w:val="20"/>
          <w:szCs w:val="20"/>
        </w:rPr>
        <w:t xml:space="preserve">full set of policies and procedures specific to the regulated activities at that location;</w:t>
      </w:r>
    </w:p>
    <w:p>
      <w:pPr>
        <w:pStyle w:val="ListParagraph"/>
        <w:numPr>
          <w:ilvl w:val="0"/>
          <w:numId w:val="2"/>
        </w:numPr>
        <w:spacing w:after="40" w:before="40"/>
      </w:pPr>
      <w:r>
        <w:rPr>
          <w:rFonts w:ascii="Arial" w:cs="Arial" w:eastAsia="Arial" w:hAnsi="Arial"/>
          <w:color w:val="1A1A2E"/>
          <w:sz w:val="20"/>
          <w:szCs w:val="20"/>
        </w:rPr>
        <w:t xml:space="preserve">evidence of staffing arrangements; and</w:t>
      </w:r>
    </w:p>
    <w:p>
      <w:pPr>
        <w:pStyle w:val="ListParagraph"/>
        <w:numPr>
          <w:ilvl w:val="0"/>
          <w:numId w:val="2"/>
        </w:numPr>
        <w:spacing w:after="40" w:before="40"/>
      </w:pPr>
      <w:r>
        <w:rPr>
          <w:rFonts w:ascii="Arial" w:cs="Arial" w:eastAsia="Arial" w:hAnsi="Arial"/>
          <w:color w:val="1A1A2E"/>
          <w:sz w:val="20"/>
          <w:szCs w:val="20"/>
        </w:rPr>
        <w:t xml:space="preserve">demonstration of compliance with the Fundamental Standards from day one.</w:t>
      </w:r>
    </w:p>
    <w:p>
      <w:pPr>
        <w:spacing w:after="0" w:before="80"/>
      </w:pPr>
    </w:p>
    <w:p>
      <w:pPr>
        <w:spacing w:after="60" w:before="60"/>
        <w:jc w:val="both"/>
      </w:pPr>
      <w:r>
        <w:rPr>
          <w:rFonts w:ascii="Arial" w:cs="Arial" w:eastAsia="Arial" w:hAnsi="Arial"/>
          <w:color w:val="1A1A2E"/>
          <w:sz w:val="20"/>
          <w:szCs w:val="20"/>
        </w:rPr>
        <w:t xml:space="preserve">CQC registration applications for care homes are complex and typically take several months to process. There is no guarantee of approval. An application for a location that has not yet been built, or for which planning permission has not been granted, would not be accepted.</w:t>
      </w:r>
    </w:p>
    <w:p>
      <w:pPr>
        <w:spacing w:after="60" w:before="60"/>
        <w:jc w:val="both"/>
      </w:pPr>
      <w:r>
        <w:rPr>
          <w:rFonts w:ascii="Arial" w:cs="Arial" w:eastAsia="Arial" w:hAnsi="Arial"/>
          <w:color w:val="1A1A2E"/>
          <w:sz w:val="20"/>
          <w:szCs w:val="20"/>
        </w:rPr>
        <w:t xml:space="preserve">Source: CQC registration guidance (updated February 2026): https://www.cqc.org.uk/guidance-regulation/providers/registration  |  https://www.gov.uk/registration-of-residential-care-homes-england</w:t>
      </w:r>
    </w:p>
    <w:p>
      <w:pPr>
        <w:spacing w:after="0" w:before="120"/>
      </w:pPr>
    </w:p>
    <w:p>
      <w:pPr>
        <w:pStyle w:val="Heading2"/>
        <w:spacing w:after="80" w:before="300"/>
      </w:pPr>
      <w:r>
        <w:rPr>
          <w:rFonts w:ascii="Arial" w:cs="Arial" w:eastAsia="Arial" w:hAnsi="Arial"/>
          <w:b/>
          <w:bCs/>
          <w:color w:val="1A1A2E"/>
          <w:sz w:val="26"/>
          <w:szCs w:val="26"/>
        </w:rPr>
        <w:t xml:space="preserve">4.4  Timeline and Cost of a New-Build Care Home</w:t>
      </w:r>
    </w:p>
    <w:p>
      <w:pPr>
        <w:spacing w:after="60" w:before="60"/>
        <w:jc w:val="both"/>
      </w:pPr>
      <w:r>
        <w:rPr>
          <w:rFonts w:ascii="Arial" w:cs="Arial" w:eastAsia="Arial" w:hAnsi="Arial"/>
          <w:color w:val="1A1A2E"/>
          <w:sz w:val="20"/>
          <w:szCs w:val="20"/>
        </w:rPr>
        <w:t xml:space="preserve">Based on current market data, the full timeline from a decision to proceed to operational opening for a new-build care home is typically 18 to 30 months. This breaks down as:</w:t>
      </w:r>
    </w:p>
    <w:p>
      <w:pPr>
        <w:spacing w:after="0" w:before="40"/>
      </w:pPr>
    </w:p>
    <w:tbl>
      <w:tblPr>
        <w:tblW w:type="dxa" w:w="8226"/>
        <w:tblBorders>
          <w:top w:val="single" w:color="auto" w:sz="4"/>
          <w:left w:val="single" w:color="auto" w:sz="4"/>
          <w:bottom w:val="single" w:color="auto" w:sz="4"/>
          <w:right w:val="single" w:color="auto" w:sz="4"/>
          <w:insideH w:val="single" w:color="auto" w:sz="4"/>
          <w:insideV w:val="single" w:color="auto" w:sz="4"/>
        </w:tblBorders>
      </w:tblPr>
      <w:tblGrid>
        <w:gridCol w:w="2400"/>
        <w:gridCol w:w="2100"/>
        <w:gridCol w:w="3726"/>
      </w:tblGrid>
      <w:tr>
        <w:trPr>
          <w:tblHeader/>
        </w:trPr>
        <w:tc>
          <w:tcPr>
            <w:tcW w:type="dxa" w:w="2400"/>
            <w:tcBorders>
              <w:top w:val="single" w:color="5B2D8E" w:sz="1"/>
              <w:left w:val="single" w:color="5B2D8E" w:sz="1"/>
              <w:bottom w:val="single" w:color="5B2D8E" w:sz="1"/>
              <w:right w:val="single" w:color="5B2D8E" w:sz="1"/>
            </w:tcBorders>
            <w:shd w:fill="5B2D8E" w:val="clear"/>
            <w:tcMar>
              <w:top w:type="dxa" w:w="80"/>
              <w:left w:type="dxa" w:w="120"/>
              <w:bottom w:type="dxa" w:w="80"/>
              <w:right w:type="dxa" w:w="120"/>
            </w:tcMar>
          </w:tcPr>
          <w:p>
            <w:pPr>
              <w:spacing w:after="0" w:before="0"/>
            </w:pPr>
            <w:r>
              <w:rPr>
                <w:rFonts w:ascii="Arial" w:cs="Arial" w:eastAsia="Arial" w:hAnsi="Arial"/>
                <w:b/>
                <w:bCs/>
                <w:color w:val="FFFFFF"/>
                <w:sz w:val="18"/>
                <w:szCs w:val="18"/>
              </w:rPr>
              <w:t xml:space="preserve">Stage</w:t>
            </w:r>
          </w:p>
        </w:tc>
        <w:tc>
          <w:tcPr>
            <w:tcW w:type="dxa" w:w="2100"/>
            <w:tcBorders>
              <w:top w:val="single" w:color="5B2D8E" w:sz="1"/>
              <w:left w:val="single" w:color="5B2D8E" w:sz="1"/>
              <w:bottom w:val="single" w:color="5B2D8E" w:sz="1"/>
              <w:right w:val="single" w:color="5B2D8E" w:sz="1"/>
            </w:tcBorders>
            <w:shd w:fill="5B2D8E" w:val="clear"/>
            <w:tcMar>
              <w:top w:type="dxa" w:w="80"/>
              <w:left w:type="dxa" w:w="120"/>
              <w:bottom w:type="dxa" w:w="80"/>
              <w:right w:type="dxa" w:w="120"/>
            </w:tcMar>
          </w:tcPr>
          <w:p>
            <w:pPr>
              <w:spacing w:after="0" w:before="0"/>
            </w:pPr>
            <w:r>
              <w:rPr>
                <w:rFonts w:ascii="Arial" w:cs="Arial" w:eastAsia="Arial" w:hAnsi="Arial"/>
                <w:b/>
                <w:bCs/>
                <w:color w:val="FFFFFF"/>
                <w:sz w:val="18"/>
                <w:szCs w:val="18"/>
              </w:rPr>
              <w:t xml:space="preserve">Typical duration</w:t>
            </w:r>
          </w:p>
        </w:tc>
        <w:tc>
          <w:tcPr>
            <w:tcW w:type="dxa" w:w="3726"/>
            <w:tcBorders>
              <w:top w:val="single" w:color="5B2D8E" w:sz="1"/>
              <w:left w:val="single" w:color="5B2D8E" w:sz="1"/>
              <w:bottom w:val="single" w:color="5B2D8E" w:sz="1"/>
              <w:right w:val="single" w:color="5B2D8E" w:sz="1"/>
            </w:tcBorders>
            <w:shd w:fill="5B2D8E" w:val="clear"/>
            <w:tcMar>
              <w:top w:type="dxa" w:w="80"/>
              <w:left w:type="dxa" w:w="120"/>
              <w:bottom w:type="dxa" w:w="80"/>
              <w:right w:type="dxa" w:w="120"/>
            </w:tcMar>
          </w:tcPr>
          <w:p>
            <w:pPr>
              <w:spacing w:after="0" w:before="0"/>
            </w:pPr>
            <w:r>
              <w:rPr>
                <w:rFonts w:ascii="Arial" w:cs="Arial" w:eastAsia="Arial" w:hAnsi="Arial"/>
                <w:b/>
                <w:bCs/>
                <w:color w:val="FFFFFF"/>
                <w:sz w:val="18"/>
                <w:szCs w:val="18"/>
              </w:rPr>
              <w:t xml:space="preserve">Notes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Site acquisition / identification</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3–6 months</w:t>
            </w:r>
          </w:p>
        </w:tc>
        <w:tc>
          <w:tcPr>
            <w:tcW w:type="dxa" w:w="37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In Alston Moor, no suitable site has been identified</w:t>
            </w:r>
          </w:p>
        </w:tc>
      </w:tr>
      <w:tr>
        <w:tc>
          <w:tcPr>
            <w:tcW w:type="dxa" w:w="24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Architectural design and pre-application</w:t>
            </w:r>
          </w:p>
        </w:tc>
        <w:tc>
          <w:tcPr>
            <w:tcW w:type="dxa" w:w="21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2–6 months</w:t>
            </w:r>
          </w:p>
        </w:tc>
        <w:tc>
          <w:tcPr>
            <w:tcW w:type="dxa" w:w="37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C2 use class; complex rural planning context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Planning application and decision</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3‒6 months</w:t>
            </w:r>
          </w:p>
        </w:tc>
        <w:tc>
          <w:tcPr>
            <w:tcW w:type="dxa" w:w="37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Full planning permission required; appeals add 12+ months</w:t>
            </w:r>
          </w:p>
        </w:tc>
      </w:tr>
      <w:tr>
        <w:tc>
          <w:tcPr>
            <w:tcW w:type="dxa" w:w="24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Building Regulations discharge</w:t>
            </w:r>
          </w:p>
        </w:tc>
        <w:tc>
          <w:tcPr>
            <w:tcW w:type="dxa" w:w="21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1–2 months</w:t>
            </w:r>
          </w:p>
        </w:tc>
        <w:tc>
          <w:tcPr>
            <w:tcW w:type="dxa" w:w="37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Running alongside or after planning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Construction</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9–18 months</w:t>
            </w:r>
          </w:p>
        </w:tc>
        <w:tc>
          <w:tcPr>
            <w:tcW w:type="dxa" w:w="37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For a 13-bed home; longer in remote locations with supply chain constraints</w:t>
            </w:r>
          </w:p>
        </w:tc>
      </w:tr>
      <w:tr>
        <w:tc>
          <w:tcPr>
            <w:tcW w:type="dxa" w:w="24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Fit-out and commissioning</w:t>
            </w:r>
          </w:p>
        </w:tc>
        <w:tc>
          <w:tcPr>
            <w:tcW w:type="dxa" w:w="21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2–3 months</w:t>
            </w:r>
          </w:p>
        </w:tc>
        <w:tc>
          <w:tcPr>
            <w:tcW w:type="dxa" w:w="37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Including CQC registration application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CQC registration processing</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3–6 months</w:t>
            </w:r>
          </w:p>
        </w:tc>
        <w:tc>
          <w:tcPr>
            <w:tcW w:type="dxa" w:w="37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No guarantee of approval; delays common</w:t>
            </w:r>
          </w:p>
        </w:tc>
      </w:tr>
      <w:tr>
        <w:tc>
          <w:tcPr>
            <w:tcW w:type="dxa" w:w="24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Total</w:t>
            </w:r>
          </w:p>
        </w:tc>
        <w:tc>
          <w:tcPr>
            <w:tcW w:type="dxa" w:w="21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18–30+ months</w:t>
            </w:r>
          </w:p>
        </w:tc>
        <w:tc>
          <w:tcPr>
            <w:tcW w:type="dxa" w:w="37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Before first resident can be admitted</w:t>
            </w:r>
          </w:p>
        </w:tc>
      </w:tr>
    </w:tbl>
    <w:p>
      <w:pPr>
        <w:spacing w:after="0" w:before="120"/>
      </w:pPr>
    </w:p>
    <w:p>
      <w:pPr>
        <w:spacing w:after="60" w:before="60"/>
        <w:jc w:val="both"/>
      </w:pPr>
      <w:r>
        <w:rPr>
          <w:rFonts w:ascii="Arial" w:cs="Arial" w:eastAsia="Arial" w:hAnsi="Arial"/>
          <w:color w:val="1A1A2E"/>
          <w:sz w:val="20"/>
          <w:szCs w:val="20"/>
        </w:rPr>
        <w:t xml:space="preserve">Construction cost benchmarks (2025): purpose-built care homes typically cost between £120,000 and £180,000 per registered bed to build (including fit-out, M&amp;E and external works), meaning a 13-bed replacement would cost approximately £1.56m–£2.34m before land acquisition, planning fees, professional fees or VAT. A smaller 4–5 bed replacement (‘if that is what is being proposed’) would cost approximately £480,000–£900,000 before the same additional costs, but would still need to meet all the same regulatory requirements.</w:t>
      </w:r>
    </w:p>
    <w:p>
      <w:pPr>
        <w:spacing w:after="60" w:before="60"/>
        <w:jc w:val="both"/>
      </w:pPr>
      <w:r>
        <w:rPr>
          <w:rFonts w:ascii="Arial" w:cs="Arial" w:eastAsia="Arial" w:hAnsi="Arial"/>
          <w:color w:val="1A1A2E"/>
          <w:sz w:val="20"/>
          <w:szCs w:val="20"/>
        </w:rPr>
        <w:t xml:space="preserve">Source: https://www.rdscarebuild.com/blog-posts/care-home-construction-costs-in-2025-uk-investment-guide  |  https://carehomebuilders.co.uk/marketing/care-home-refurbishment-costs-2026</w:t>
      </w:r>
    </w:p>
    <w:p>
      <w:pPr>
        <w:spacing w:after="0"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5B2D8E" w:sz="1"/>
              <w:left w:val="single" w:color="5B2D8E" w:sz="12"/>
              <w:bottom w:val="single" w:color="5B2D8E" w:sz="1"/>
              <w:right w:val="single" w:color="CCCCCC" w:sz="1"/>
            </w:tcBorders>
            <w:shd w:fill="F2EEF8" w:val="clear"/>
            <w:tcMar>
              <w:top w:type="dxa" w:w="120"/>
              <w:left w:type="dxa" w:w="200"/>
              <w:bottom w:type="dxa" w:w="120"/>
              <w:right w:type="dxa" w:w="120"/>
            </w:tcMar>
          </w:tcPr>
          <w:p>
            <w:pPr>
              <w:spacing w:after="0" w:before="0"/>
            </w:pPr>
            <w:r>
              <w:rPr>
                <w:rFonts w:ascii="Arial" w:cs="Arial" w:eastAsia="Arial" w:hAnsi="Arial"/>
                <w:b/>
                <w:bCs/>
                <w:color w:val="5B2D8E"/>
                <w:sz w:val="20"/>
                <w:szCs w:val="20"/>
              </w:rPr>
              <w:t xml:space="preserve">Campaign relevance: </w:t>
            </w:r>
            <w:r>
              <w:rPr>
                <w:rFonts w:ascii="Arial" w:cs="Arial" w:eastAsia="Arial" w:hAnsi="Arial"/>
                <w:color w:val="1A1A2E"/>
                <w:sz w:val="20"/>
                <w:szCs w:val="20"/>
              </w:rPr>
              <w:t xml:space="preserve">WFC’s preferred option — ‘find an alternative building in the local area’ — has no identified site, no confirmed funding, no planning permission, no CQC registration, and no timeline. Even on the most optimistic assumptions, the regulatory pathway from decision to first resident admission is 18–30+ months. During that period, Grisedale Croft would be deregistered and its current residents would be displaced, potentially permanently. There is no regulatory mechanism that ‘holds’ the service during the gap.</w:t>
            </w:r>
          </w:p>
        </w:tc>
      </w:tr>
    </w:tbl>
    <w:p>
      <w:pPr>
        <w:spacing w:after="0" w:before="120"/>
      </w:pPr>
    </w:p>
    <w:p>
      <w:pPr>
        <w:pStyle w:val="Heading1"/>
        <w:pBdr>
          <w:bottom w:val="single" w:color="5B2D8E" w:sz="6" w:space="4"/>
        </w:pBdr>
        <w:spacing w:after="120" w:before="360"/>
      </w:pPr>
      <w:r>
        <w:rPr>
          <w:rFonts w:ascii="Arial" w:cs="Arial" w:eastAsia="Arial" w:hAnsi="Arial"/>
          <w:b/>
          <w:bCs/>
          <w:color w:val="5B2D8E"/>
          <w:sz w:val="32"/>
          <w:szCs w:val="32"/>
        </w:rPr>
        <w:t xml:space="preserve">Part 5 — The Equality Act 2010 and the Public Sector Equality Duty</w:t>
      </w:r>
    </w:p>
    <w:p>
      <w:pPr>
        <w:pStyle w:val="Heading2"/>
        <w:spacing w:after="80" w:before="300"/>
      </w:pPr>
      <w:r>
        <w:rPr>
          <w:rFonts w:ascii="Arial" w:cs="Arial" w:eastAsia="Arial" w:hAnsi="Arial"/>
          <w:b/>
          <w:bCs/>
          <w:color w:val="1A1A2E"/>
          <w:sz w:val="26"/>
          <w:szCs w:val="26"/>
        </w:rPr>
        <w:t xml:space="preserve">5.1  Section 149: The Public Sector Equality Duty</w:t>
      </w:r>
    </w:p>
    <w:p>
      <w:pPr>
        <w:spacing w:after="60" w:before="60"/>
        <w:jc w:val="both"/>
      </w:pPr>
      <w:r>
        <w:rPr>
          <w:rFonts w:ascii="Arial" w:cs="Arial" w:eastAsia="Arial" w:hAnsi="Arial"/>
          <w:color w:val="1A1A2E"/>
          <w:sz w:val="20"/>
          <w:szCs w:val="20"/>
        </w:rPr>
        <w:t xml:space="preserve">Section 149 of the Equality Act 2010 (‘the PSED’) requires public authorities, in the exercise of their functions, to have due regard to the need to:</w:t>
      </w:r>
    </w:p>
    <w:p>
      <w:pPr>
        <w:pStyle w:val="ListParagraph"/>
        <w:numPr>
          <w:ilvl w:val="0"/>
          <w:numId w:val="2"/>
        </w:numPr>
        <w:spacing w:after="40" w:before="40"/>
      </w:pPr>
      <w:r>
        <w:rPr>
          <w:rFonts w:ascii="Arial" w:cs="Arial" w:eastAsia="Arial" w:hAnsi="Arial"/>
          <w:color w:val="1A1A2E"/>
          <w:sz w:val="20"/>
          <w:szCs w:val="20"/>
        </w:rPr>
        <w:t xml:space="preserve">eliminate discrimination, harassment, victimisation and other conduct prohibited by the Act;</w:t>
      </w:r>
    </w:p>
    <w:p>
      <w:pPr>
        <w:pStyle w:val="ListParagraph"/>
        <w:numPr>
          <w:ilvl w:val="0"/>
          <w:numId w:val="2"/>
        </w:numPr>
        <w:spacing w:after="40" w:before="40"/>
      </w:pPr>
      <w:r>
        <w:rPr>
          <w:rFonts w:ascii="Arial" w:cs="Arial" w:eastAsia="Arial" w:hAnsi="Arial"/>
          <w:color w:val="1A1A2E"/>
          <w:sz w:val="20"/>
          <w:szCs w:val="20"/>
        </w:rPr>
        <w:t xml:space="preserve">advance equality of opportunity between persons who share a relevant protected characteristic and persons who do not; and</w:t>
      </w:r>
    </w:p>
    <w:p>
      <w:pPr>
        <w:pStyle w:val="ListParagraph"/>
        <w:numPr>
          <w:ilvl w:val="0"/>
          <w:numId w:val="2"/>
        </w:numPr>
        <w:spacing w:after="40" w:before="40"/>
      </w:pPr>
      <w:r>
        <w:rPr>
          <w:rFonts w:ascii="Arial" w:cs="Arial" w:eastAsia="Arial" w:hAnsi="Arial"/>
          <w:color w:val="1A1A2E"/>
          <w:sz w:val="20"/>
          <w:szCs w:val="20"/>
        </w:rPr>
        <w:t xml:space="preserve">foster good relations between persons who share a relevant protected characteristic and persons who do not.</w:t>
      </w:r>
    </w:p>
    <w:p>
      <w:pPr>
        <w:spacing w:after="0" w:before="80"/>
      </w:pPr>
    </w:p>
    <w:p>
      <w:pPr>
        <w:spacing w:after="60" w:before="60"/>
        <w:jc w:val="both"/>
      </w:pPr>
      <w:r>
        <w:rPr>
          <w:rFonts w:ascii="Arial" w:cs="Arial" w:eastAsia="Arial" w:hAnsi="Arial"/>
          <w:color w:val="1A1A2E"/>
          <w:sz w:val="20"/>
          <w:szCs w:val="20"/>
        </w:rPr>
        <w:t xml:space="preserve">The protected characteristics engaged by a decision to close a care home for older people are principally: age and disability. All current residents at Grisedale Croft are older people and many will have physical and/or cognitive disabilities. The PSED requires the Council to have ‘due regard’ to the impact of the closure decision on people sharing these characteristics before making the decision, not after.</w:t>
      </w:r>
    </w:p>
    <w:p>
      <w:pPr>
        <w:spacing w:after="60" w:before="60"/>
        <w:jc w:val="both"/>
      </w:pPr>
      <w:r>
        <w:rPr>
          <w:rFonts w:ascii="Arial" w:cs="Arial" w:eastAsia="Arial" w:hAnsi="Arial"/>
          <w:color w:val="1A1A2E"/>
          <w:sz w:val="20"/>
          <w:szCs w:val="20"/>
        </w:rPr>
        <w:t xml:space="preserve">The duty must be exercised ‘in substance, with rigour and with an open mind’ (R (Hotak) v Southwark LBC [2015] UKSC 30). An Equality Impact Assessment (EIA) that is completed after the decision has effectively been made, or that does not engage with the specific geographic and personal circumstances of Alston Moor residents, is unlikely to discharge the duty.</w:t>
      </w:r>
    </w:p>
    <w:p>
      <w:pPr>
        <w:spacing w:after="60" w:before="60"/>
        <w:jc w:val="both"/>
      </w:pPr>
      <w:r>
        <w:rPr>
          <w:rFonts w:ascii="Arial" w:cs="Arial" w:eastAsia="Arial" w:hAnsi="Arial"/>
          <w:color w:val="1A1A2E"/>
          <w:sz w:val="20"/>
          <w:szCs w:val="20"/>
        </w:rPr>
        <w:t xml:space="preserve">Source: Equality Act 2010, s.149: https://www.legislation.gov.uk/ukpga/2010/15/section/149  |  HoC Library briefing: https://commonslibrary.parliament.uk/research-briefings/sn06591/</w:t>
      </w:r>
    </w:p>
    <w:p>
      <w:pPr>
        <w:spacing w:after="0"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5B2D8E" w:sz="1"/>
              <w:left w:val="single" w:color="5B2D8E" w:sz="12"/>
              <w:bottom w:val="single" w:color="5B2D8E" w:sz="1"/>
              <w:right w:val="single" w:color="CCCCCC" w:sz="1"/>
            </w:tcBorders>
            <w:shd w:fill="F2EEF8" w:val="clear"/>
            <w:tcMar>
              <w:top w:type="dxa" w:w="120"/>
              <w:left w:type="dxa" w:w="200"/>
              <w:bottom w:type="dxa" w:w="120"/>
              <w:right w:type="dxa" w:w="120"/>
            </w:tcMar>
          </w:tcPr>
          <w:p>
            <w:pPr>
              <w:spacing w:after="0" w:before="0"/>
            </w:pPr>
            <w:r>
              <w:rPr>
                <w:rFonts w:ascii="Arial" w:cs="Arial" w:eastAsia="Arial" w:hAnsi="Arial"/>
                <w:b/>
                <w:bCs/>
                <w:color w:val="5B2D8E"/>
                <w:sz w:val="20"/>
                <w:szCs w:val="20"/>
              </w:rPr>
              <w:t xml:space="preserve">Campaign relevance: </w:t>
            </w:r>
            <w:r>
              <w:rPr>
                <w:rFonts w:ascii="Arial" w:cs="Arial" w:eastAsia="Arial" w:hAnsi="Arial"/>
                <w:color w:val="1A1A2E"/>
                <w:sz w:val="20"/>
                <w:szCs w:val="20"/>
              </w:rPr>
              <w:t xml:space="preserve">The consultation paper and Cabinet papers for the 21 April 2026 decision have not been disclosed (FOIs 1–5 are outstanding). The campaign has specifically requested the Equality Impact Assessment (FOI 5). Where the EIA is absent, incomplete or post-decisional, this is a ground for legal challenge. In a community where all care home residents are, by definition, older and/or disabled, and where the nearest alternative placement is 17–30 miles away, the geographic disadvantage is inseparable from the protected characteristics of age and disability.</w:t>
            </w:r>
          </w:p>
        </w:tc>
      </w:tr>
    </w:tbl>
    <w:p>
      <w:pPr>
        <w:spacing w:after="0" w:before="120"/>
      </w:pPr>
    </w:p>
    <w:p>
      <w:pPr>
        <w:pStyle w:val="Heading1"/>
        <w:pBdr>
          <w:bottom w:val="single" w:color="5B2D8E" w:sz="6" w:space="4"/>
        </w:pBdr>
        <w:spacing w:after="120" w:before="360"/>
      </w:pPr>
      <w:r>
        <w:rPr>
          <w:rFonts w:ascii="Arial" w:cs="Arial" w:eastAsia="Arial" w:hAnsi="Arial"/>
          <w:b/>
          <w:bCs/>
          <w:color w:val="5B2D8E"/>
          <w:sz w:val="32"/>
          <w:szCs w:val="32"/>
        </w:rPr>
        <w:t xml:space="preserve">Part 6 — Consultation Law: The Gunning Principles and Common Law Fairness</w:t>
      </w:r>
    </w:p>
    <w:p>
      <w:pPr>
        <w:pStyle w:val="Heading2"/>
        <w:spacing w:after="80" w:before="300"/>
      </w:pPr>
      <w:r>
        <w:rPr>
          <w:rFonts w:ascii="Arial" w:cs="Arial" w:eastAsia="Arial" w:hAnsi="Arial"/>
          <w:b/>
          <w:bCs/>
          <w:color w:val="1A1A2E"/>
          <w:sz w:val="26"/>
          <w:szCs w:val="26"/>
        </w:rPr>
        <w:t xml:space="preserve">6.1  The Gunning Principles</w:t>
      </w:r>
    </w:p>
    <w:p>
      <w:pPr>
        <w:spacing w:after="60" w:before="60"/>
        <w:jc w:val="both"/>
      </w:pPr>
      <w:r>
        <w:rPr>
          <w:rFonts w:ascii="Arial" w:cs="Arial" w:eastAsia="Arial" w:hAnsi="Arial"/>
          <w:color w:val="1A1A2E"/>
          <w:sz w:val="20"/>
          <w:szCs w:val="20"/>
        </w:rPr>
        <w:t xml:space="preserve">The Gunning Principles derive from R v London Borough of Brent ex parte Gunning [1985] 84 LGR 168, articulated by Sedley J (as he then was) and subsequently endorsed by the Supreme Court in R (Moseley) v London Borough of Haringey [2014] UKSC 56. They apply whenever a public authority conducts a formal consultation, whether or not it is required to do so by statute. The four principles are:</w:t>
      </w:r>
    </w:p>
    <w:p>
      <w:pPr>
        <w:spacing w:after="0" w:before="40"/>
      </w:pPr>
    </w:p>
    <w:tbl>
      <w:tblPr>
        <w:tblW w:type="dxa" w:w="8226"/>
        <w:tblBorders>
          <w:top w:val="single" w:color="auto" w:sz="4"/>
          <w:left w:val="single" w:color="auto" w:sz="4"/>
          <w:bottom w:val="single" w:color="auto" w:sz="4"/>
          <w:right w:val="single" w:color="auto" w:sz="4"/>
          <w:insideH w:val="single" w:color="auto" w:sz="4"/>
          <w:insideV w:val="single" w:color="auto" w:sz="4"/>
        </w:tblBorders>
      </w:tblPr>
      <w:tblGrid>
        <w:gridCol w:w="1500"/>
        <w:gridCol w:w="2200"/>
        <w:gridCol w:w="4526"/>
      </w:tblGrid>
      <w:tr>
        <w:trPr>
          <w:tblHeader/>
        </w:trPr>
        <w:tc>
          <w:tcPr>
            <w:tcW w:type="dxa" w:w="1500"/>
            <w:tcBorders>
              <w:top w:val="single" w:color="5B2D8E" w:sz="1"/>
              <w:left w:val="single" w:color="5B2D8E" w:sz="1"/>
              <w:bottom w:val="single" w:color="5B2D8E" w:sz="1"/>
              <w:right w:val="single" w:color="5B2D8E" w:sz="1"/>
            </w:tcBorders>
            <w:shd w:fill="5B2D8E" w:val="clear"/>
            <w:tcMar>
              <w:top w:type="dxa" w:w="80"/>
              <w:left w:type="dxa" w:w="120"/>
              <w:bottom w:type="dxa" w:w="80"/>
              <w:right w:type="dxa" w:w="120"/>
            </w:tcMar>
          </w:tcPr>
          <w:p>
            <w:pPr>
              <w:spacing w:after="0" w:before="0"/>
            </w:pPr>
            <w:r>
              <w:rPr>
                <w:rFonts w:ascii="Arial" w:cs="Arial" w:eastAsia="Arial" w:hAnsi="Arial"/>
                <w:b/>
                <w:bCs/>
                <w:color w:val="FFFFFF"/>
                <w:sz w:val="18"/>
                <w:szCs w:val="18"/>
              </w:rPr>
              <w:t xml:space="preserve">Principle</w:t>
            </w:r>
          </w:p>
        </w:tc>
        <w:tc>
          <w:tcPr>
            <w:tcW w:type="dxa" w:w="2200"/>
            <w:tcBorders>
              <w:top w:val="single" w:color="5B2D8E" w:sz="1"/>
              <w:left w:val="single" w:color="5B2D8E" w:sz="1"/>
              <w:bottom w:val="single" w:color="5B2D8E" w:sz="1"/>
              <w:right w:val="single" w:color="5B2D8E" w:sz="1"/>
            </w:tcBorders>
            <w:shd w:fill="5B2D8E" w:val="clear"/>
            <w:tcMar>
              <w:top w:type="dxa" w:w="80"/>
              <w:left w:type="dxa" w:w="120"/>
              <w:bottom w:type="dxa" w:w="80"/>
              <w:right w:type="dxa" w:w="120"/>
            </w:tcMar>
          </w:tcPr>
          <w:p>
            <w:pPr>
              <w:spacing w:after="0" w:before="0"/>
            </w:pPr>
            <w:r>
              <w:rPr>
                <w:rFonts w:ascii="Arial" w:cs="Arial" w:eastAsia="Arial" w:hAnsi="Arial"/>
                <w:b/>
                <w:bCs/>
                <w:color w:val="FFFFFF"/>
                <w:sz w:val="18"/>
                <w:szCs w:val="18"/>
              </w:rPr>
              <w:t xml:space="preserve">Requirement</w:t>
            </w:r>
          </w:p>
        </w:tc>
        <w:tc>
          <w:tcPr>
            <w:tcW w:type="dxa" w:w="4526"/>
            <w:tcBorders>
              <w:top w:val="single" w:color="5B2D8E" w:sz="1"/>
              <w:left w:val="single" w:color="5B2D8E" w:sz="1"/>
              <w:bottom w:val="single" w:color="5B2D8E" w:sz="1"/>
              <w:right w:val="single" w:color="5B2D8E" w:sz="1"/>
            </w:tcBorders>
            <w:shd w:fill="5B2D8E" w:val="clear"/>
            <w:tcMar>
              <w:top w:type="dxa" w:w="80"/>
              <w:left w:type="dxa" w:w="120"/>
              <w:bottom w:type="dxa" w:w="80"/>
              <w:right w:type="dxa" w:w="120"/>
            </w:tcMar>
          </w:tcPr>
          <w:p>
            <w:pPr>
              <w:spacing w:after="0" w:before="0"/>
            </w:pPr>
            <w:r>
              <w:rPr>
                <w:rFonts w:ascii="Arial" w:cs="Arial" w:eastAsia="Arial" w:hAnsi="Arial"/>
                <w:b/>
                <w:bCs/>
                <w:color w:val="FFFFFF"/>
                <w:sz w:val="18"/>
                <w:szCs w:val="18"/>
              </w:rPr>
              <w:t xml:space="preserve">Application to WFC’s consultation</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Gunning 1</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Consultation must occur at a formative stage, when the mind of the decision-maker is genuinely open.</w:t>
            </w:r>
          </w:p>
        </w:tc>
        <w:tc>
          <w:tcPr>
            <w:tcW w:type="dxa" w:w="4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WFC’s Cabinet approved a ‘preferred option’ (alternative building) before the consultation opened. A preferred option named in advance of consultation may not be at a formative stage.</w:t>
            </w:r>
          </w:p>
        </w:tc>
      </w:tr>
      <w:tr>
        <w:tc>
          <w:tcPr>
            <w:tcW w:type="dxa" w:w="1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Gunning 2</w:t>
            </w:r>
          </w:p>
        </w:tc>
        <w:tc>
          <w:tcPr>
            <w:tcW w:type="dxa" w:w="22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Sufficient information must be provided to enable consultees to give the matter intelligent consideration.</w:t>
            </w:r>
          </w:p>
        </w:tc>
        <w:tc>
          <w:tcPr>
            <w:tcW w:type="dxa" w:w="45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WFC’s consultation omits the historical context of the 2017–18 settlement, the NHS commissioning arrangement, and the occupancy trajectory. Consultees cannot respond intelligently to a consultation that does not disclose the full picture.</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Gunning 3</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Adequate time must be given for consideration and response.</w:t>
            </w:r>
          </w:p>
        </w:tc>
        <w:tc>
          <w:tcPr>
            <w:tcW w:type="dxa" w:w="4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12 weeks is generally adequate, but adequacy is assessed in context. For a remote community with limited digital access and a small Council, 12 weeks may be assessed differently than for an urban consultation.</w:t>
            </w:r>
          </w:p>
        </w:tc>
      </w:tr>
      <w:tr>
        <w:tc>
          <w:tcPr>
            <w:tcW w:type="dxa" w:w="1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Gunning 4</w:t>
            </w:r>
          </w:p>
        </w:tc>
        <w:tc>
          <w:tcPr>
            <w:tcW w:type="dxa" w:w="22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The product of the consultation must be conscientiously taken into account in finalising proposals.</w:t>
            </w:r>
          </w:p>
        </w:tc>
        <w:tc>
          <w:tcPr>
            <w:tcW w:type="dxa" w:w="45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This can only be assessed after the decision. The Working Group should keep a record of every community submission as evidence that consultation responses were received and considered.</w:t>
            </w:r>
          </w:p>
        </w:tc>
      </w:tr>
    </w:tbl>
    <w:p>
      <w:pPr>
        <w:spacing w:after="0" w:before="120"/>
      </w:pPr>
    </w:p>
    <w:p>
      <w:pPr>
        <w:spacing w:after="60" w:before="60"/>
        <w:jc w:val="both"/>
      </w:pPr>
      <w:r>
        <w:rPr>
          <w:rFonts w:ascii="Arial" w:cs="Arial" w:eastAsia="Arial" w:hAnsi="Arial"/>
          <w:color w:val="1A1A2E"/>
          <w:sz w:val="20"/>
          <w:szCs w:val="20"/>
        </w:rPr>
        <w:t xml:space="preserve">Recent case law: R (Ellen Clifford) v Secretary of State for Work and Pensions [2025] EWHC 58 (Admin) and R (Sarcp) v Stoke-on-Trent City Council [2025] EWHC 18 (Admin) confirmed that the Gunning Principles apply to consultations of this type. In the Hackney children’s centres case (November 2024), the London Borough of Hackney conceded judicial review after failing to provide sufficient information under Gunning 2 and failing to consult on alternative options.</w:t>
      </w:r>
    </w:p>
    <w:p>
      <w:pPr>
        <w:spacing w:after="60" w:before="60"/>
        <w:jc w:val="both"/>
      </w:pPr>
      <w:r>
        <w:rPr>
          <w:rFonts w:ascii="Arial" w:cs="Arial" w:eastAsia="Arial" w:hAnsi="Arial"/>
          <w:color w:val="1A1A2E"/>
          <w:sz w:val="20"/>
          <w:szCs w:val="20"/>
        </w:rPr>
        <w:t xml:space="preserve">Sources: https://www.hsfkramer.com/notes/publiclaw/2025-posts/how-not-to-consult-consultation-and-the-gunning-principles-in-operation  |  https://www.local.gov.uk/sites/default/files/documents/The%20Gunning%20Principles.pdf</w:t>
      </w:r>
    </w:p>
    <w:p>
      <w:pPr>
        <w:spacing w:after="0" w:before="120"/>
      </w:pPr>
    </w:p>
    <w:p>
      <w:pPr>
        <w:pStyle w:val="Heading1"/>
        <w:pBdr>
          <w:bottom w:val="single" w:color="5B2D8E" w:sz="6" w:space="4"/>
        </w:pBdr>
        <w:spacing w:after="120" w:before="360"/>
      </w:pPr>
      <w:r>
        <w:rPr>
          <w:rFonts w:ascii="Arial" w:cs="Arial" w:eastAsia="Arial" w:hAnsi="Arial"/>
          <w:b/>
          <w:bCs/>
          <w:color w:val="5B2D8E"/>
          <w:sz w:val="32"/>
          <w:szCs w:val="32"/>
        </w:rPr>
        <w:t xml:space="preserve">Part 7 — Legitimate Expectation and Article 8 ECHR</w:t>
      </w:r>
    </w:p>
    <w:p>
      <w:pPr>
        <w:pStyle w:val="Heading2"/>
        <w:spacing w:after="80" w:before="300"/>
      </w:pPr>
      <w:r>
        <w:rPr>
          <w:rFonts w:ascii="Arial" w:cs="Arial" w:eastAsia="Arial" w:hAnsi="Arial"/>
          <w:b/>
          <w:bCs/>
          <w:color w:val="1A1A2E"/>
          <w:sz w:val="26"/>
          <w:szCs w:val="26"/>
        </w:rPr>
        <w:t xml:space="preserve">7.1  The Doctrine of Substantive Legitimate Expectation</w:t>
      </w:r>
    </w:p>
    <w:p>
      <w:pPr>
        <w:spacing w:after="60" w:before="60"/>
        <w:jc w:val="both"/>
      </w:pPr>
      <w:r>
        <w:rPr>
          <w:rFonts w:ascii="Arial" w:cs="Arial" w:eastAsia="Arial" w:hAnsi="Arial"/>
          <w:color w:val="1A1A2E"/>
          <w:sz w:val="20"/>
          <w:szCs w:val="20"/>
        </w:rPr>
        <w:t xml:space="preserve">The doctrine of substantive legitimate expectation in English public law protects individuals from arbitrary decisions by public authorities that frustrate reasonable expectations created by clear and unambiguous promises or established practices. The doctrine was definitively applied in the care home context in:</w:t>
      </w:r>
    </w:p>
    <w:p>
      <w:pPr>
        <w:spacing w:after="0" w:before="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5B2D8E" w:sz="1"/>
              <w:left w:val="single" w:color="5B2D8E" w:sz="12"/>
              <w:bottom w:val="single" w:color="5B2D8E" w:sz="1"/>
              <w:right w:val="single" w:color="CCCCCC" w:sz="1"/>
            </w:tcBorders>
            <w:shd w:fill="F2EEF8" w:val="clear"/>
            <w:tcMar>
              <w:top w:type="dxa" w:w="120"/>
              <w:left w:type="dxa" w:w="200"/>
              <w:bottom w:type="dxa" w:w="120"/>
              <w:right w:type="dxa" w:w="120"/>
            </w:tcMar>
          </w:tcPr>
          <w:p>
            <w:pPr>
              <w:spacing w:after="0" w:before="0"/>
            </w:pPr>
            <w:r>
              <w:rPr>
                <w:rFonts w:ascii="Arial" w:cs="Arial" w:eastAsia="Arial" w:hAnsi="Arial"/>
                <w:b/>
                <w:bCs/>
                <w:color w:val="5B2D8E"/>
                <w:sz w:val="20"/>
                <w:szCs w:val="20"/>
              </w:rPr>
              <w:t xml:space="preserve">R v North and East Devon Health Authority, ex parte Coughlan [2001] QB 213 (Court of Appeal): </w:t>
            </w:r>
            <w:r>
              <w:rPr>
                <w:rFonts w:ascii="Arial" w:cs="Arial" w:eastAsia="Arial" w:hAnsi="Arial"/>
                <w:color w:val="1A1A2E"/>
                <w:sz w:val="20"/>
                <w:szCs w:val="20"/>
              </w:rPr>
              <w:t xml:space="preserve">The Health Authority promised Miss Coughlan that Mardon House would be her permanent home. When it proposed to close the facility, the Court of Appeal held that breaking this promise — absent compelling public interest justification — constituted an abuse of power. The promise had created a substantive legitimate expectation that the courts were entitled to enforce. The case also held that the closure engaged Article 8 of the ECHR (right to private and family life) and that, absent overriding public interest, the Authority had not lawfully weighed the competing interests.</w:t>
            </w:r>
          </w:p>
        </w:tc>
      </w:tr>
    </w:tbl>
    <w:p>
      <w:pPr>
        <w:spacing w:after="0" w:before="120"/>
      </w:pPr>
    </w:p>
    <w:p>
      <w:pPr>
        <w:spacing w:after="60" w:before="60"/>
        <w:jc w:val="both"/>
      </w:pPr>
      <w:r>
        <w:rPr>
          <w:rFonts w:ascii="Arial" w:cs="Arial" w:eastAsia="Arial" w:hAnsi="Arial"/>
          <w:color w:val="1A1A2E"/>
          <w:sz w:val="20"/>
          <w:szCs w:val="20"/>
        </w:rPr>
        <w:t xml:space="preserve">Three categories of legitimate expectation are recognised in English law (Pinsent Masons, 2017):</w:t>
      </w:r>
    </w:p>
    <w:p>
      <w:pPr>
        <w:pStyle w:val="ListParagraph"/>
        <w:numPr>
          <w:ilvl w:val="0"/>
          <w:numId w:val="2"/>
        </w:numPr>
        <w:spacing w:after="40" w:before="40"/>
      </w:pPr>
      <w:r>
        <w:rPr>
          <w:rFonts w:ascii="Arial" w:cs="Arial" w:eastAsia="Arial" w:hAnsi="Arial"/>
          <w:color w:val="1A1A2E"/>
          <w:sz w:val="20"/>
          <w:szCs w:val="20"/>
        </w:rPr>
        <w:t xml:space="preserve">Category 1 (the strongest): a clear and unambiguous promise, relied on to the promisee’s detriment, where holding the authority to its promise does not have wide-ranging political consequences. Coughlan is the paradigm case.</w:t>
      </w:r>
    </w:p>
    <w:p>
      <w:pPr>
        <w:pStyle w:val="ListParagraph"/>
        <w:numPr>
          <w:ilvl w:val="0"/>
          <w:numId w:val="2"/>
        </w:numPr>
        <w:spacing w:after="40" w:before="40"/>
      </w:pPr>
      <w:r>
        <w:rPr>
          <w:rFonts w:ascii="Arial" w:cs="Arial" w:eastAsia="Arial" w:hAnsi="Arial"/>
          <w:color w:val="1A1A2E"/>
          <w:sz w:val="20"/>
          <w:szCs w:val="20"/>
        </w:rPr>
        <w:t xml:space="preserve">Category 2: terms of published guidance, instruction or policy so clear and unqualified as to amount to a promise of particular treatment.</w:t>
      </w:r>
    </w:p>
    <w:p>
      <w:pPr>
        <w:pStyle w:val="ListParagraph"/>
        <w:numPr>
          <w:ilvl w:val="0"/>
          <w:numId w:val="2"/>
        </w:numPr>
        <w:spacing w:after="40" w:before="40"/>
      </w:pPr>
      <w:r>
        <w:rPr>
          <w:rFonts w:ascii="Arial" w:cs="Arial" w:eastAsia="Arial" w:hAnsi="Arial"/>
          <w:color w:val="1A1A2E"/>
          <w:sz w:val="20"/>
          <w:szCs w:val="20"/>
        </w:rPr>
        <w:t xml:space="preserve">Category 3: an established practice or policy giving rise to an expectation of consistent or equal treatment.</w:t>
      </w:r>
    </w:p>
    <w:p>
      <w:pPr>
        <w:spacing w:after="0" w:before="80"/>
      </w:pPr>
    </w:p>
    <w:p>
      <w:pPr>
        <w:spacing w:after="60" w:before="60"/>
        <w:jc w:val="both"/>
      </w:pPr>
      <w:r>
        <w:rPr>
          <w:rFonts w:ascii="Arial" w:cs="Arial" w:eastAsia="Arial" w:hAnsi="Arial"/>
          <w:color w:val="1A1A2E"/>
          <w:sz w:val="20"/>
          <w:szCs w:val="20"/>
        </w:rPr>
        <w:t xml:space="preserve">The campaign’s position on Alston Moor engages all three categories. The 2017–18 NHS commitments (captured in the Alston Alliance Plan and corroborated by the CQC 2018 inspection record) are Category 1 and 2 promises made to the Alston Moor community in exchange for the community’s acceptance of hospital bed closures. The treatment of Applethwaite Green (Windermere) in the same consultation — where four neutral options are offered and no preferred option named — raises a potential Category 3 argument: why is Alston Moor treated differently from Windermere in the same consultation process?</w:t>
      </w:r>
    </w:p>
    <w:p>
      <w:pPr>
        <w:spacing w:after="60" w:before="60"/>
        <w:jc w:val="both"/>
      </w:pPr>
      <w:r>
        <w:rPr>
          <w:rFonts w:ascii="Arial" w:cs="Arial" w:eastAsia="Arial" w:hAnsi="Arial"/>
          <w:color w:val="1A1A2E"/>
          <w:sz w:val="20"/>
          <w:szCs w:val="20"/>
        </w:rPr>
        <w:t xml:space="preserve">Source: https://www.pinsentmasons.com/out-law/analysis/legitimate-expectation-as-a-ground-for-judicial-review-  |  https://www.winstonsolicitors.co.uk/nhs-continuing-healthcare-funding/how-coughlan-shaped-funding</w:t>
      </w:r>
    </w:p>
    <w:p>
      <w:pPr>
        <w:spacing w:after="0"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5B2D8E" w:sz="1"/>
              <w:left w:val="single" w:color="5B2D8E" w:sz="12"/>
              <w:bottom w:val="single" w:color="5B2D8E" w:sz="1"/>
              <w:right w:val="single" w:color="CCCCCC" w:sz="1"/>
            </w:tcBorders>
            <w:shd w:fill="F2EEF8" w:val="clear"/>
            <w:tcMar>
              <w:top w:type="dxa" w:w="120"/>
              <w:left w:type="dxa" w:w="200"/>
              <w:bottom w:type="dxa" w:w="120"/>
              <w:right w:type="dxa" w:w="120"/>
            </w:tcMar>
          </w:tcPr>
          <w:p>
            <w:pPr>
              <w:spacing w:after="0" w:before="0"/>
            </w:pPr>
            <w:r>
              <w:rPr>
                <w:rFonts w:ascii="Arial" w:cs="Arial" w:eastAsia="Arial" w:hAnsi="Arial"/>
                <w:b/>
                <w:bCs/>
                <w:color w:val="5B2D8E"/>
                <w:sz w:val="20"/>
                <w:szCs w:val="20"/>
              </w:rPr>
              <w:t xml:space="preserve">Important caveat: </w:t>
            </w:r>
            <w:r>
              <w:rPr>
                <w:rFonts w:ascii="Arial" w:cs="Arial" w:eastAsia="Arial" w:hAnsi="Arial"/>
                <w:color w:val="1A1A2E"/>
                <w:sz w:val="20"/>
                <w:szCs w:val="20"/>
              </w:rPr>
              <w:t xml:space="preserve">The legal challenge in 2017 was resolved before reaching court. There is no court judgment; the 2017–18 commitments are a matter of NHS published statements and documents, not a court order. This distinction matters when asserting legitimate expectation: the claim rests on the force of the documented promises, not on a judicially binding order.</w:t>
            </w:r>
          </w:p>
        </w:tc>
      </w:tr>
    </w:tbl>
    <w:p>
      <w:pPr>
        <w:spacing w:after="0" w:before="120"/>
      </w:pPr>
    </w:p>
    <w:p>
      <w:pPr>
        <w:pStyle w:val="Heading2"/>
        <w:spacing w:after="80" w:before="300"/>
      </w:pPr>
      <w:r>
        <w:rPr>
          <w:rFonts w:ascii="Arial" w:cs="Arial" w:eastAsia="Arial" w:hAnsi="Arial"/>
          <w:b/>
          <w:bCs/>
          <w:color w:val="1A1A2E"/>
          <w:sz w:val="26"/>
          <w:szCs w:val="26"/>
        </w:rPr>
        <w:t xml:space="preserve">7.2  Article 8 ECHR — Right to Private and Family Life</w:t>
      </w:r>
    </w:p>
    <w:p>
      <w:pPr>
        <w:spacing w:after="60" w:before="60"/>
        <w:jc w:val="both"/>
      </w:pPr>
      <w:r>
        <w:rPr>
          <w:rFonts w:ascii="Arial" w:cs="Arial" w:eastAsia="Arial" w:hAnsi="Arial"/>
          <w:color w:val="1A1A2E"/>
          <w:sz w:val="20"/>
          <w:szCs w:val="20"/>
        </w:rPr>
        <w:t xml:space="preserve">Article 8 of the European Convention on Human Rights, as incorporated into domestic law by the Human Rights Act 1998, provides that everyone has the right to respect for their private and family life, home and correspondence. State interference with this right must be in accordance with the law, necessary in a democratic society, and proportionate to a legitimate aim.</w:t>
      </w:r>
    </w:p>
    <w:p>
      <w:pPr>
        <w:spacing w:after="60" w:before="60"/>
        <w:jc w:val="both"/>
      </w:pPr>
      <w:r>
        <w:rPr>
          <w:rFonts w:ascii="Arial" w:cs="Arial" w:eastAsia="Arial" w:hAnsi="Arial"/>
          <w:color w:val="1A1A2E"/>
          <w:sz w:val="20"/>
          <w:szCs w:val="20"/>
        </w:rPr>
        <w:t xml:space="preserve">In the care home context, Article 8 is engaged when the closure and displacement of a resident severs their established home environment, personal relationships with staff and fellow residents, and proximity to family. The ECHR considered such a claim in Watts v United Kingdom [2010] and found the claim inadmissible on the specific facts, noting that Article 8 does not provide an absolute right to remain in a particular care home and that adequately managed transfers — with measures to minimise distress — may be proportionate. However, the ECHR also noted that:</w:t>
      </w:r>
    </w:p>
    <w:p>
      <w:pPr>
        <w:pStyle w:val="ListParagraph"/>
        <w:numPr>
          <w:ilvl w:val="0"/>
          <w:numId w:val="2"/>
        </w:numPr>
        <w:spacing w:after="40" w:before="40"/>
      </w:pPr>
      <w:r>
        <w:rPr>
          <w:rFonts w:ascii="Arial" w:cs="Arial" w:eastAsia="Arial" w:hAnsi="Arial"/>
          <w:color w:val="1A1A2E"/>
          <w:sz w:val="20"/>
          <w:szCs w:val="20"/>
        </w:rPr>
        <w:t xml:space="preserve">the right to ‘home’ under Article 8 can encompass a care home where a resident has lived for a sustained period;</w:t>
      </w:r>
    </w:p>
    <w:p>
      <w:pPr>
        <w:pStyle w:val="ListParagraph"/>
        <w:numPr>
          <w:ilvl w:val="0"/>
          <w:numId w:val="2"/>
        </w:numPr>
        <w:spacing w:after="40" w:before="40"/>
      </w:pPr>
      <w:r>
        <w:rPr>
          <w:rFonts w:ascii="Arial" w:cs="Arial" w:eastAsia="Arial" w:hAnsi="Arial"/>
          <w:color w:val="1A1A2E"/>
          <w:sz w:val="20"/>
          <w:szCs w:val="20"/>
        </w:rPr>
        <w:t xml:space="preserve">the relationships formed with staff and fellow residents are part of ‘private life’; and</w:t>
      </w:r>
    </w:p>
    <w:p>
      <w:pPr>
        <w:pStyle w:val="ListParagraph"/>
        <w:numPr>
          <w:ilvl w:val="0"/>
          <w:numId w:val="2"/>
        </w:numPr>
        <w:spacing w:after="40" w:before="40"/>
      </w:pPr>
      <w:r>
        <w:rPr>
          <w:rFonts w:ascii="Arial" w:cs="Arial" w:eastAsia="Arial" w:hAnsi="Arial"/>
          <w:color w:val="1A1A2E"/>
          <w:sz w:val="20"/>
          <w:szCs w:val="20"/>
        </w:rPr>
        <w:t xml:space="preserve">the standard for Article 2 (right to life) requires the authority to demonstrate that a ‘properly managed’ transfer does not present a ‘quantifiable risk to life expectancy’.</w:t>
      </w:r>
    </w:p>
    <w:p>
      <w:pPr>
        <w:spacing w:after="0" w:before="80"/>
      </w:pPr>
    </w:p>
    <w:p>
      <w:pPr>
        <w:spacing w:after="60" w:before="60"/>
        <w:jc w:val="both"/>
      </w:pPr>
      <w:r>
        <w:rPr>
          <w:rFonts w:ascii="Arial" w:cs="Arial" w:eastAsia="Arial" w:hAnsi="Arial"/>
          <w:color w:val="1A1A2E"/>
          <w:sz w:val="20"/>
          <w:szCs w:val="20"/>
        </w:rPr>
        <w:t xml:space="preserve">The Parliamentary Joint Committee on Human Rights confirmed in 2021 (Report on care home visiting, HL 1375) that care home visiting restrictions engaged Article 8, emphasising the right of residents to maintain family relationships and for families not to be separated without due process.</w:t>
      </w:r>
    </w:p>
    <w:p>
      <w:pPr>
        <w:spacing w:after="60" w:before="60"/>
        <w:jc w:val="both"/>
      </w:pPr>
      <w:r>
        <w:rPr>
          <w:rFonts w:ascii="Arial" w:cs="Arial" w:eastAsia="Arial" w:hAnsi="Arial"/>
          <w:color w:val="1A1A2E"/>
          <w:sz w:val="20"/>
          <w:szCs w:val="20"/>
        </w:rPr>
        <w:t xml:space="preserve">For Alston Moor, the Article 8 argument is not simply about the distress of moving. It is that:</w:t>
      </w:r>
    </w:p>
    <w:p>
      <w:pPr>
        <w:pStyle w:val="ListParagraph"/>
        <w:numPr>
          <w:ilvl w:val="0"/>
          <w:numId w:val="2"/>
        </w:numPr>
        <w:spacing w:after="40" w:before="40"/>
      </w:pPr>
      <w:r>
        <w:rPr>
          <w:rFonts w:ascii="Arial" w:cs="Arial" w:eastAsia="Arial" w:hAnsi="Arial"/>
          <w:color w:val="1A1A2E"/>
          <w:sz w:val="20"/>
          <w:szCs w:val="20"/>
        </w:rPr>
        <w:t xml:space="preserve">displacement 20–30 miles from family destroys the practical ability of families to visit daily or even weekly;</w:t>
      </w:r>
    </w:p>
    <w:p>
      <w:pPr>
        <w:pStyle w:val="ListParagraph"/>
        <w:numPr>
          <w:ilvl w:val="0"/>
          <w:numId w:val="2"/>
        </w:numPr>
        <w:spacing w:after="40" w:before="40"/>
      </w:pPr>
      <w:r>
        <w:rPr>
          <w:rFonts w:ascii="Arial" w:cs="Arial" w:eastAsia="Arial" w:hAnsi="Arial"/>
          <w:color w:val="1A1A2E"/>
          <w:sz w:val="20"/>
          <w:szCs w:val="20"/>
        </w:rPr>
        <w:t xml:space="preserve">end-of-life care at that distance is institutional rather than intimate; and</w:t>
      </w:r>
    </w:p>
    <w:p>
      <w:pPr>
        <w:pStyle w:val="ListParagraph"/>
        <w:numPr>
          <w:ilvl w:val="0"/>
          <w:numId w:val="2"/>
        </w:numPr>
        <w:spacing w:after="40" w:before="40"/>
      </w:pPr>
      <w:r>
        <w:rPr>
          <w:rFonts w:ascii="Arial" w:cs="Arial" w:eastAsia="Arial" w:hAnsi="Arial"/>
          <w:color w:val="1A1A2E"/>
          <w:sz w:val="20"/>
          <w:szCs w:val="20"/>
        </w:rPr>
        <w:t xml:space="preserve">these consequences are foreseeable, specific to Alston Moor’s geography, and not shared by residents displaced from urban homes where alternative care is nearby.</w:t>
      </w:r>
    </w:p>
    <w:p>
      <w:pPr>
        <w:spacing w:after="0" w:before="80"/>
      </w:pPr>
    </w:p>
    <w:p>
      <w:pPr>
        <w:spacing w:after="60" w:before="60"/>
        <w:jc w:val="both"/>
      </w:pPr>
      <w:r>
        <w:rPr>
          <w:rFonts w:ascii="Arial" w:cs="Arial" w:eastAsia="Arial" w:hAnsi="Arial"/>
          <w:color w:val="1A1A2E"/>
          <w:sz w:val="20"/>
          <w:szCs w:val="20"/>
        </w:rPr>
        <w:t xml:space="preserve">The campaign does not assert that Article 8 makes closure unlawful. It asserts that Article 8 requires WFC to engage in a proper proportionality analysis, weighing the specific Article 8 impacts on Alston Moor residents against whatever financial or service rationale WFC advances. If WFC’s consultation fails to engage with this proportionality exercise, that is a ground for legal challenge.</w:t>
      </w:r>
    </w:p>
    <w:p>
      <w:pPr>
        <w:spacing w:after="60" w:before="60"/>
        <w:jc w:val="both"/>
      </w:pPr>
      <w:r>
        <w:rPr>
          <w:rFonts w:ascii="Arial" w:cs="Arial" w:eastAsia="Arial" w:hAnsi="Arial"/>
          <w:color w:val="1A1A2E"/>
          <w:sz w:val="20"/>
          <w:szCs w:val="20"/>
        </w:rPr>
        <w:t xml:space="preserve">Sources: Watts v United Kingdom (Application No. 53586/09); Human Rights Act 1998, s.6; https://publications.parliament.uk/pa/jt5801/jtselect/jtrights/1375/137504.htm</w:t>
      </w:r>
    </w:p>
    <w:p>
      <w:pPr>
        <w:spacing w:after="0" w:before="120"/>
      </w:pPr>
    </w:p>
    <w:p>
      <w:pPr>
        <w:pStyle w:val="Heading1"/>
        <w:pBdr>
          <w:bottom w:val="single" w:color="5B2D8E" w:sz="6" w:space="4"/>
        </w:pBdr>
        <w:spacing w:after="120" w:before="360"/>
      </w:pPr>
      <w:r>
        <w:rPr>
          <w:rFonts w:ascii="Arial" w:cs="Arial" w:eastAsia="Arial" w:hAnsi="Arial"/>
          <w:b/>
          <w:bCs/>
          <w:color w:val="5B2D8E"/>
          <w:sz w:val="32"/>
          <w:szCs w:val="32"/>
        </w:rPr>
        <w:t xml:space="preserve">Quick-Reference Table — Key Instruments with Citations and URLs</w:t>
      </w:r>
    </w:p>
    <w:p>
      <w:pPr>
        <w:spacing w:after="0" w:before="40"/>
      </w:pPr>
    </w:p>
    <w:tbl>
      <w:tblPr>
        <w:tblW w:type="dxa" w:w="8226"/>
        <w:tblBorders>
          <w:top w:val="single" w:color="auto" w:sz="4"/>
          <w:left w:val="single" w:color="auto" w:sz="4"/>
          <w:bottom w:val="single" w:color="auto" w:sz="4"/>
          <w:right w:val="single" w:color="auto" w:sz="4"/>
          <w:insideH w:val="single" w:color="auto" w:sz="4"/>
          <w:insideV w:val="single" w:color="auto" w:sz="4"/>
        </w:tblBorders>
      </w:tblPr>
      <w:tblGrid>
        <w:gridCol w:w="2500"/>
        <w:gridCol w:w="3500"/>
        <w:gridCol w:w="2226"/>
      </w:tblGrid>
      <w:tr>
        <w:trPr>
          <w:tblHeader/>
        </w:trPr>
        <w:tc>
          <w:tcPr>
            <w:tcW w:type="dxa" w:w="2500"/>
            <w:tcBorders>
              <w:top w:val="single" w:color="5B2D8E" w:sz="1"/>
              <w:left w:val="single" w:color="5B2D8E" w:sz="1"/>
              <w:bottom w:val="single" w:color="5B2D8E" w:sz="1"/>
              <w:right w:val="single" w:color="5B2D8E" w:sz="1"/>
            </w:tcBorders>
            <w:shd w:fill="5B2D8E" w:val="clear"/>
            <w:tcMar>
              <w:top w:type="dxa" w:w="80"/>
              <w:left w:type="dxa" w:w="120"/>
              <w:bottom w:type="dxa" w:w="80"/>
              <w:right w:type="dxa" w:w="120"/>
            </w:tcMar>
          </w:tcPr>
          <w:p>
            <w:pPr>
              <w:spacing w:after="0" w:before="0"/>
            </w:pPr>
            <w:r>
              <w:rPr>
                <w:rFonts w:ascii="Arial" w:cs="Arial" w:eastAsia="Arial" w:hAnsi="Arial"/>
                <w:b/>
                <w:bCs/>
                <w:color w:val="FFFFFF"/>
                <w:sz w:val="18"/>
                <w:szCs w:val="18"/>
              </w:rPr>
              <w:t xml:space="preserve">Instrument</w:t>
            </w:r>
          </w:p>
        </w:tc>
        <w:tc>
          <w:tcPr>
            <w:tcW w:type="dxa" w:w="3500"/>
            <w:tcBorders>
              <w:top w:val="single" w:color="5B2D8E" w:sz="1"/>
              <w:left w:val="single" w:color="5B2D8E" w:sz="1"/>
              <w:bottom w:val="single" w:color="5B2D8E" w:sz="1"/>
              <w:right w:val="single" w:color="5B2D8E" w:sz="1"/>
            </w:tcBorders>
            <w:shd w:fill="5B2D8E" w:val="clear"/>
            <w:tcMar>
              <w:top w:type="dxa" w:w="80"/>
              <w:left w:type="dxa" w:w="120"/>
              <w:bottom w:type="dxa" w:w="80"/>
              <w:right w:type="dxa" w:w="120"/>
            </w:tcMar>
          </w:tcPr>
          <w:p>
            <w:pPr>
              <w:spacing w:after="0" w:before="0"/>
            </w:pPr>
            <w:r>
              <w:rPr>
                <w:rFonts w:ascii="Arial" w:cs="Arial" w:eastAsia="Arial" w:hAnsi="Arial"/>
                <w:b/>
                <w:bCs/>
                <w:color w:val="FFFFFF"/>
                <w:sz w:val="18"/>
                <w:szCs w:val="18"/>
              </w:rPr>
              <w:t xml:space="preserve">Key provision(s)</w:t>
            </w:r>
          </w:p>
        </w:tc>
        <w:tc>
          <w:tcPr>
            <w:tcW w:type="dxa" w:w="2226"/>
            <w:tcBorders>
              <w:top w:val="single" w:color="5B2D8E" w:sz="1"/>
              <w:left w:val="single" w:color="5B2D8E" w:sz="1"/>
              <w:bottom w:val="single" w:color="5B2D8E" w:sz="1"/>
              <w:right w:val="single" w:color="5B2D8E" w:sz="1"/>
            </w:tcBorders>
            <w:shd w:fill="5B2D8E" w:val="clear"/>
            <w:tcMar>
              <w:top w:type="dxa" w:w="80"/>
              <w:left w:type="dxa" w:w="120"/>
              <w:bottom w:type="dxa" w:w="80"/>
              <w:right w:type="dxa" w:w="120"/>
            </w:tcMar>
          </w:tcPr>
          <w:p>
            <w:pPr>
              <w:spacing w:after="0" w:before="0"/>
            </w:pPr>
            <w:r>
              <w:rPr>
                <w:rFonts w:ascii="Arial" w:cs="Arial" w:eastAsia="Arial" w:hAnsi="Arial"/>
                <w:b/>
                <w:bCs/>
                <w:color w:val="FFFFFF"/>
                <w:sz w:val="18"/>
                <w:szCs w:val="18"/>
              </w:rPr>
              <w:t xml:space="preserve">URL</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Health and Social Care Act 2008</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Requirement for CQC registration (s.10); offence for unregistered activity</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https://www.legislation.gov.uk/ukpga/2008/14</w:t>
            </w:r>
          </w:p>
        </w:tc>
      </w:tr>
      <w:tr>
        <w:tc>
          <w:tcPr>
            <w:tcW w:type="dxa" w:w="2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SI 2014/2936 — Regulated Activities Regulations 2014</w:t>
            </w:r>
          </w:p>
        </w:tc>
        <w:tc>
          <w:tcPr>
            <w:tcW w:type="dxa" w:w="3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Fundamental Standards, Regs 8–20A; notification obligations, Reg. 15</w:t>
            </w:r>
          </w:p>
        </w:tc>
        <w:tc>
          <w:tcPr>
            <w:tcW w:type="dxa" w:w="22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https://www.legislation.gov.uk/uksi/2014/2936</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Care Standards Act 2000</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Definition of ‘care home’ (s.3)</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https://www.legislation.gov.uk/ukpga/2000/14</w:t>
            </w:r>
          </w:p>
        </w:tc>
      </w:tr>
      <w:tr>
        <w:tc>
          <w:tcPr>
            <w:tcW w:type="dxa" w:w="2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CQC Registration Regulations 2009 (SI 2009/3112)</w:t>
            </w:r>
          </w:p>
        </w:tc>
        <w:tc>
          <w:tcPr>
            <w:tcW w:type="dxa" w:w="3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Notifications on closure; changes to registered details</w:t>
            </w:r>
          </w:p>
        </w:tc>
        <w:tc>
          <w:tcPr>
            <w:tcW w:type="dxa" w:w="22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https://www.cqc.org.uk/guidance-regulation/providers/registration/making-changes-your-registration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Care Act 2014, s.1</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Wellbeing duty: dignity, family relationships, suitable accommodation</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https://www.legislation.gov.uk/ukpga/2014/23/section/1</w:t>
            </w:r>
          </w:p>
        </w:tc>
      </w:tr>
      <w:tr>
        <w:tc>
          <w:tcPr>
            <w:tcW w:type="dxa" w:w="2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Care Act 2014, s.3</w:t>
            </w:r>
          </w:p>
        </w:tc>
        <w:tc>
          <w:tcPr>
            <w:tcW w:type="dxa" w:w="3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Integration of care with health services</w:t>
            </w:r>
          </w:p>
        </w:tc>
        <w:tc>
          <w:tcPr>
            <w:tcW w:type="dxa" w:w="22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https://www.legislation.gov.uk/ukpga/2014/23/section/3</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Care Act 2014, s.5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Market shaping: sufficiency duty; high-quality services; variety of providers</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https://www.legislation.gov.uk/ukpga/2014/23/section/5</w:t>
            </w:r>
          </w:p>
        </w:tc>
      </w:tr>
      <w:tr>
        <w:tc>
          <w:tcPr>
            <w:tcW w:type="dxa" w:w="2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Care Act 2014, ss.46–50</w:t>
            </w:r>
          </w:p>
        </w:tc>
        <w:tc>
          <w:tcPr>
            <w:tcW w:type="dxa" w:w="3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Provider failure; continuity of care duty irrespective of eligibility</w:t>
            </w:r>
          </w:p>
        </w:tc>
        <w:tc>
          <w:tcPr>
            <w:tcW w:type="dxa" w:w="22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https://www.legislation.gov.uk/ukpga/2014/23</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Care &amp; Support Statutory Guidance (updated 2023)</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Guidance on ss.1, 3, 5, 9 duties; market shaping (para 4.7)</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https://www.gov.uk/government/publications/care-act-statutory-guidance/care-and-support-statutory-guidance</w:t>
            </w:r>
          </w:p>
        </w:tc>
      </w:tr>
      <w:tr>
        <w:tc>
          <w:tcPr>
            <w:tcW w:type="dxa" w:w="2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Equality Act 2010, s.149</w:t>
            </w:r>
          </w:p>
        </w:tc>
        <w:tc>
          <w:tcPr>
            <w:tcW w:type="dxa" w:w="3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Public Sector Equality Duty: age and disability protected characteristics</w:t>
            </w:r>
          </w:p>
        </w:tc>
        <w:tc>
          <w:tcPr>
            <w:tcW w:type="dxa" w:w="22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https://www.legislation.gov.uk/ukpga/2010/15/section/149</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Human Rights Act 1998 + ECHR Art. 8</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Right to private and family life; home; proportionality</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https://www.legislation.gov.uk/ukpga/1998/42</w:t>
            </w:r>
          </w:p>
        </w:tc>
      </w:tr>
      <w:tr>
        <w:tc>
          <w:tcPr>
            <w:tcW w:type="dxa" w:w="2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Building Regulations 2010 (as amended)</w:t>
            </w:r>
          </w:p>
        </w:tc>
        <w:tc>
          <w:tcPr>
            <w:tcW w:type="dxa" w:w="3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Approved Documents B (fire, incl. mandatory sprinklers in care homes from March 2025), M (access), L (energy), T (toilets from Oct 2024)</w:t>
            </w:r>
          </w:p>
        </w:tc>
        <w:tc>
          <w:tcPr>
            <w:tcW w:type="dxa" w:w="22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https://www.gov.uk/government/collections/approved-documents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Town and Country Planning (Use Classes) Order 1987 (as amended)</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C2 use class: residential institutions; full planning permission required for all C2 development</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https://www.legislation.gov.uk/uksi/1987/764</w:t>
            </w:r>
          </w:p>
        </w:tc>
      </w:tr>
      <w:tr>
        <w:tc>
          <w:tcPr>
            <w:tcW w:type="dxa" w:w="2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NPPF 2024, paras 63 and 71</w:t>
            </w:r>
          </w:p>
        </w:tc>
        <w:tc>
          <w:tcPr>
            <w:tcW w:type="dxa" w:w="3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Policy support for care provision; C2 planning context</w:t>
            </w:r>
          </w:p>
        </w:tc>
        <w:tc>
          <w:tcPr>
            <w:tcW w:type="dxa" w:w="22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https://www.gov.uk/guidance/national-planning-policy-framework</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 v Brent ex parte Gunning [1985]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Four Gunning Principles for lawful consultation</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https://www.local.gov.uk/sites/default/files/documents/The%20Gunning%20Principles.pdf</w:t>
            </w:r>
          </w:p>
        </w:tc>
      </w:tr>
      <w:tr>
        <w:tc>
          <w:tcPr>
            <w:tcW w:type="dxa" w:w="2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 (Moseley) v Haringey LBC [2014] UKSC 56</w:t>
            </w:r>
          </w:p>
        </w:tc>
        <w:tc>
          <w:tcPr>
            <w:tcW w:type="dxa" w:w="3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Supreme Court endorsement of Gunning; formative stage; sufficient information</w:t>
            </w:r>
          </w:p>
        </w:tc>
        <w:tc>
          <w:tcPr>
            <w:tcW w:type="dxa" w:w="22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https://www.supremecourt.uk/cases/uksc-2013-0161.html</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 (Clifford) v SoS Work &amp; Pensions [2025]</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Recent application of Gunning 2: reasons for proposal must be clearly explained</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https://www.hsfkramer.com/notes/publiclaw/2025-posts/how-not-to-consult-consultation-and-the-gunning-principles-in-operation</w:t>
            </w:r>
          </w:p>
        </w:tc>
      </w:tr>
      <w:tr>
        <w:tc>
          <w:tcPr>
            <w:tcW w:type="dxa" w:w="2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R v North &amp; East Devon HA ex p Coughlan [2001] QB 213</w:t>
            </w:r>
          </w:p>
        </w:tc>
        <w:tc>
          <w:tcPr>
            <w:tcW w:type="dxa" w:w="3500"/>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Substantive legitimate expectation; Article 8; broken promises by NHS cannot be justified on mere cost grounds</w:t>
            </w:r>
          </w:p>
        </w:tc>
        <w:tc>
          <w:tcPr>
            <w:tcW w:type="dxa" w:w="2226"/>
            <w:tcBorders>
              <w:top w:val="single" w:color="CCCCCC" w:sz="1"/>
              <w:left w:val="single" w:color="CCCCCC" w:sz="1"/>
              <w:bottom w:val="single" w:color="CCCCCC" w:sz="1"/>
              <w:right w:val="single" w:color="CCCCCC" w:sz="1"/>
            </w:tcBorders>
            <w:shd w:fill="F9F6FD" w:val="clear"/>
            <w:tcMar>
              <w:top w:type="dxa" w:w="80"/>
              <w:left w:type="dxa" w:w="120"/>
              <w:bottom w:type="dxa" w:w="80"/>
              <w:right w:type="dxa" w:w="120"/>
            </w:tcMar>
          </w:tcPr>
          <w:p>
            <w:pPr>
              <w:spacing w:after="0" w:before="0"/>
            </w:pPr>
            <w:r>
              <w:rPr>
                <w:rFonts w:ascii="Arial" w:cs="Arial" w:eastAsia="Arial" w:hAnsi="Arial"/>
                <w:color w:val="1A1A2E"/>
                <w:sz w:val="18"/>
                <w:szCs w:val="18"/>
              </w:rPr>
              <w:t xml:space="preserve">https://www.winstonsolicitors.co.uk/nhs-continuing-healthcare-funding/how-coughlan-shaped-funding</w:t>
            </w:r>
          </w:p>
        </w:tc>
      </w:tr>
    </w:tbl>
    <w:p>
      <w:pPr>
        <w:spacing w:after="0" w:before="120"/>
      </w:pPr>
    </w:p>
    <w:p>
      <w:pPr>
        <w:pStyle w:val="Heading1"/>
        <w:pBdr>
          <w:bottom w:val="single" w:color="5B2D8E" w:sz="6" w:space="4"/>
        </w:pBdr>
        <w:spacing w:after="120" w:before="360"/>
      </w:pPr>
      <w:r>
        <w:rPr>
          <w:rFonts w:ascii="Arial" w:cs="Arial" w:eastAsia="Arial" w:hAnsi="Arial"/>
          <w:b/>
          <w:bCs/>
          <w:color w:val="5B2D8E"/>
          <w:sz w:val="32"/>
          <w:szCs w:val="32"/>
        </w:rPr>
        <w:t xml:space="preserve">Notes on the Legal Framework</w:t>
      </w:r>
    </w:p>
    <w:p>
      <w:pPr>
        <w:spacing w:after="60" w:before="60"/>
        <w:jc w:val="both"/>
      </w:pPr>
      <w:r>
        <w:rPr>
          <w:rFonts w:ascii="Arial" w:cs="Arial" w:eastAsia="Arial" w:hAnsi="Arial"/>
          <w:color w:val="1A1A2E"/>
          <w:sz w:val="20"/>
          <w:szCs w:val="20"/>
        </w:rPr>
        <w:t xml:space="preserve">This document is a research briefing, not legal advice. All references to legal obligations, potential grounds for challenge, and statutory duties are framed as matters the campaign wishes to raise and have considered by WFC and its advisers, or by the solicitors being engaged for preliminary legal advice under Resolution 8 of the Parish Council’s 28 April 2026 emergency meeting resolutions.</w:t>
      </w:r>
    </w:p>
    <w:p>
      <w:pPr>
        <w:spacing w:after="60" w:before="60"/>
        <w:jc w:val="both"/>
      </w:pPr>
      <w:r>
        <w:rPr>
          <w:rFonts w:ascii="Arial" w:cs="Arial" w:eastAsia="Arial" w:hAnsi="Arial"/>
          <w:color w:val="1A1A2E"/>
          <w:sz w:val="20"/>
          <w:szCs w:val="20"/>
        </w:rPr>
        <w:t xml:space="preserve">Specific phrases to use in all formal documents:</w:t>
      </w:r>
    </w:p>
    <w:p>
      <w:pPr>
        <w:pStyle w:val="ListParagraph"/>
        <w:numPr>
          <w:ilvl w:val="0"/>
          <w:numId w:val="2"/>
        </w:numPr>
        <w:spacing w:after="40" w:before="40"/>
      </w:pPr>
      <w:r>
        <w:rPr>
          <w:rFonts w:ascii="Arial" w:cs="Arial" w:eastAsia="Arial" w:hAnsi="Arial"/>
          <w:color w:val="1A1A2E"/>
          <w:sz w:val="20"/>
          <w:szCs w:val="20"/>
        </w:rPr>
        <w:t xml:space="preserve">‘This appears to engage’ / ‘raises questions about’ [duty or right] — not ‘this is unlawful’.</w:t>
      </w:r>
    </w:p>
    <w:p>
      <w:pPr>
        <w:pStyle w:val="ListParagraph"/>
        <w:numPr>
          <w:ilvl w:val="0"/>
          <w:numId w:val="2"/>
        </w:numPr>
        <w:spacing w:after="40" w:before="40"/>
      </w:pPr>
      <w:r>
        <w:rPr>
          <w:rFonts w:ascii="Arial" w:cs="Arial" w:eastAsia="Arial" w:hAnsi="Arial"/>
          <w:color w:val="1A1A2E"/>
          <w:sz w:val="20"/>
          <w:szCs w:val="20"/>
        </w:rPr>
        <w:t xml:space="preserve">‘We ask WFC to confirm how it has discharged its obligation under [provision]’ — not ‘WFC has breached [provision]’.</w:t>
      </w:r>
    </w:p>
    <w:p>
      <w:pPr>
        <w:pStyle w:val="ListParagraph"/>
        <w:numPr>
          <w:ilvl w:val="0"/>
          <w:numId w:val="2"/>
        </w:numPr>
        <w:spacing w:after="40" w:before="40"/>
      </w:pPr>
      <w:r>
        <w:rPr>
          <w:rFonts w:ascii="Arial" w:cs="Arial" w:eastAsia="Arial" w:hAnsi="Arial"/>
          <w:color w:val="1A1A2E"/>
          <w:sz w:val="20"/>
          <w:szCs w:val="20"/>
        </w:rPr>
        <w:t xml:space="preserve">‘The Parish Council has sought preliminary legal advice on [grounds]’ — not ‘legal proceedings are imminent’.</w:t>
      </w:r>
    </w:p>
    <w:p>
      <w:pPr>
        <w:spacing w:after="0" w:before="120"/>
      </w:pPr>
    </w:p>
    <w:p>
      <w:pPr>
        <w:spacing w:after="60" w:before="60"/>
        <w:jc w:val="both"/>
      </w:pPr>
      <w:r>
        <w:rPr>
          <w:rFonts w:ascii="Arial" w:cs="Arial" w:eastAsia="Arial" w:hAnsi="Arial"/>
          <w:color w:val="1A1A2E"/>
          <w:sz w:val="20"/>
          <w:szCs w:val="20"/>
        </w:rPr>
        <w:t xml:space="preserve">Prepared by the Grisedale Croft Working Group, Alston Moor Parish Council, May 2026. Not for external distribution without Working Group endorsement.</w:t>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5B2D8E" w:sz="4" w:space="4"/>
      </w:pBdr>
      <w:spacing w:before="80"/>
    </w:pPr>
    <w:r>
      <w:rPr>
        <w:rFonts w:ascii="Arial" w:cs="Arial" w:eastAsia="Arial" w:hAnsi="Arial"/>
        <w:color w:val="444444"/>
        <w:sz w:val="16"/>
        <w:szCs w:val="16"/>
      </w:rPr>
      <w:t xml:space="preserve">Confidential working document — Grisedale Croft Working Group  |  Page </w:t>
    </w:r>
    <w:r>
      <w:rPr>
        <w:rFonts w:ascii="Arial" w:cs="Arial" w:eastAsia="Arial" w:hAnsi="Arial"/>
        <w:color w:val="444444"/>
        <w:sz w:val="16"/>
        <w:szCs w:val="16"/>
      </w:rPr>
      <w:fldChar w:fldCharType="begin"/>
      <w:instrText xml:space="preserve">PAGE</w:instrText>
      <w:fldChar w:fldCharType="separate"/>
      <w:fldChar w:fldCharType="end"/>
    </w:r>
    <w:r>
      <w:rPr>
        <w:rFonts w:ascii="Arial" w:cs="Arial" w:eastAsia="Arial" w:hAnsi="Arial"/>
        <w:color w:val="444444"/>
        <w:sz w:val="16"/>
        <w:szCs w:val="16"/>
      </w:rPr>
      <w:t xml:space="preserve"> of </w:t>
    </w:r>
    <w:r>
      <w:rPr>
        <w:rFonts w:ascii="Arial" w:cs="Arial" w:eastAsia="Arial" w:hAnsi="Arial"/>
        <w:color w:val="444444"/>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5B2D8E" w:sz="4" w:space="4"/>
      </w:pBdr>
      <w:spacing w:after="80"/>
    </w:pPr>
    <w:r>
      <w:rPr>
        <w:rFonts w:ascii="Arial" w:cs="Arial" w:eastAsia="Arial" w:hAnsi="Arial"/>
        <w:b/>
        <w:bCs/>
        <w:color w:val="5B2D8E"/>
        <w:sz w:val="16"/>
        <w:szCs w:val="16"/>
      </w:rPr>
      <w:t xml:space="preserve">Grisedale Croft Care Home — Regulatory Framework Briefing</w:t>
    </w:r>
    <w:r>
      <w:rPr>
        <w:rFonts w:ascii="Arial" w:cs="Arial" w:eastAsia="Arial" w:hAnsi="Arial"/>
        <w:color w:val="444444"/>
        <w:sz w:val="16"/>
        <w:szCs w:val="16"/>
      </w:rPr>
      <w:t xml:space="preserve">  |  Alston Moor Parish Council  |  May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5B2D8E"/>
      <w:sz w:val="32"/>
      <w:szCs w:val="32"/>
    </w:rPr>
  </w:style>
  <w:style w:type="paragraph" w:styleId="Heading2">
    <w:name w:val="Heading 2"/>
    <w:basedOn w:val="Normal"/>
    <w:next w:val="Normal"/>
    <w:qFormat/>
    <w:pPr>
      <w:spacing w:after="80" w:before="300"/>
      <w:outlineLvl w:val="1"/>
    </w:pPr>
    <w:rPr>
      <w:rFonts w:ascii="Arial" w:cs="Arial" w:eastAsia="Arial" w:hAnsi="Arial"/>
      <w:b/>
      <w:bCs/>
      <w:color w:val="1A1A2E"/>
      <w:sz w:val="26"/>
      <w:szCs w:val="26"/>
    </w:rPr>
  </w:style>
  <w:style w:type="paragraph" w:styleId="Heading3">
    <w:name w:val="Heading 3"/>
    <w:basedOn w:val="Normal"/>
    <w:next w:val="Normal"/>
    <w:qFormat/>
    <w:pPr>
      <w:spacing w:after="60" w:before="200"/>
      <w:outlineLvl w:val="2"/>
    </w:pPr>
    <w:rPr>
      <w:rFonts w:ascii="Arial" w:cs="Arial" w:eastAsia="Arial" w:hAnsi="Arial"/>
      <w:b/>
      <w:bCs/>
      <w:color w:val="44444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2026-05-22T08:33:50.060Z</dcterms:created>
  <dcterms:modified xsi:type="dcterms:W3CDTF">2026-05-22T08:33:50.073Z</dcterms:modified>
</cp:coreProperties>
</file>

<file path=docProps/custom.xml><?xml version="1.0" encoding="utf-8"?>
<Properties xmlns="http://schemas.openxmlformats.org/officeDocument/2006/custom-properties" xmlns:vt="http://schemas.openxmlformats.org/officeDocument/2006/docPropsVTypes"/>
</file>